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42063">
      <w:pPr>
        <w:snapToGrid w:val="0"/>
        <w:spacing w:before="156" w:beforeLines="50"/>
        <w:jc w:val="center"/>
        <w:rPr>
          <w:rFonts w:hint="eastAsia" w:ascii="宋体" w:hAnsi="宋体"/>
          <w:b/>
          <w:sz w:val="84"/>
          <w:szCs w:val="84"/>
        </w:rPr>
      </w:pPr>
    </w:p>
    <w:p w14:paraId="53071167">
      <w:pPr>
        <w:snapToGrid w:val="0"/>
        <w:spacing w:before="156" w:beforeLines="50"/>
        <w:jc w:val="center"/>
        <w:rPr>
          <w:rFonts w:hint="eastAsia" w:ascii="宋体" w:hAnsi="宋体"/>
          <w:b/>
          <w:sz w:val="84"/>
          <w:szCs w:val="84"/>
        </w:rPr>
      </w:pPr>
    </w:p>
    <w:p w14:paraId="31FD90B9">
      <w:pPr>
        <w:snapToGrid w:val="0"/>
        <w:spacing w:before="156" w:beforeLines="50"/>
        <w:jc w:val="center"/>
        <w:rPr>
          <w:rFonts w:hint="eastAsia" w:ascii="仿宋_GB2312" w:hAnsi="仿宋_GB2312"/>
          <w:b/>
          <w:bCs/>
          <w:sz w:val="84"/>
          <w:szCs w:val="84"/>
        </w:rPr>
      </w:pPr>
      <w:r>
        <w:rPr>
          <w:rFonts w:hint="eastAsia" w:ascii="宋体" w:hAnsi="宋体"/>
          <w:b/>
          <w:sz w:val="84"/>
          <w:szCs w:val="84"/>
        </w:rPr>
        <w:t>竞价文件</w:t>
      </w:r>
    </w:p>
    <w:p w14:paraId="3B7C1F7A">
      <w:pPr>
        <w:spacing w:line="360" w:lineRule="auto"/>
        <w:jc w:val="center"/>
        <w:rPr>
          <w:rFonts w:hint="eastAsia" w:ascii="宋体" w:hAnsi="宋体"/>
          <w:b/>
          <w:bCs/>
          <w:sz w:val="24"/>
          <w:szCs w:val="24"/>
        </w:rPr>
      </w:pPr>
    </w:p>
    <w:p w14:paraId="07FDD844">
      <w:pPr>
        <w:spacing w:line="360" w:lineRule="auto"/>
        <w:rPr>
          <w:rFonts w:hint="eastAsia" w:ascii="华文中宋" w:hAnsi="华文中宋" w:eastAsia="华文中宋"/>
          <w:sz w:val="30"/>
          <w:szCs w:val="30"/>
        </w:rPr>
      </w:pPr>
    </w:p>
    <w:p w14:paraId="248B394A">
      <w:pPr>
        <w:spacing w:line="360" w:lineRule="auto"/>
        <w:rPr>
          <w:rFonts w:hint="eastAsia" w:ascii="华文中宋" w:hAnsi="华文中宋" w:eastAsia="华文中宋"/>
          <w:sz w:val="30"/>
          <w:szCs w:val="30"/>
        </w:rPr>
      </w:pPr>
    </w:p>
    <w:p w14:paraId="22F09C3B">
      <w:pPr>
        <w:spacing w:line="360" w:lineRule="auto"/>
        <w:rPr>
          <w:rFonts w:hint="eastAsia" w:ascii="华文中宋" w:hAnsi="华文中宋" w:eastAsia="华文中宋"/>
          <w:sz w:val="30"/>
          <w:szCs w:val="30"/>
        </w:rPr>
      </w:pPr>
    </w:p>
    <w:p w14:paraId="2C9EB7D2">
      <w:pPr>
        <w:spacing w:line="360" w:lineRule="auto"/>
        <w:rPr>
          <w:rFonts w:hint="eastAsia" w:ascii="华文中宋" w:hAnsi="华文中宋" w:eastAsia="华文中宋"/>
          <w:sz w:val="30"/>
          <w:szCs w:val="30"/>
        </w:rPr>
      </w:pPr>
    </w:p>
    <w:p w14:paraId="5BC82CB8">
      <w:pPr>
        <w:spacing w:line="360" w:lineRule="auto"/>
        <w:jc w:val="left"/>
        <w:rPr>
          <w:rFonts w:hint="eastAsia" w:ascii="仿宋_GB2312" w:hAnsi="仿宋_GB2312" w:eastAsia="宋体"/>
          <w:b/>
          <w:bCs/>
          <w:sz w:val="28"/>
          <w:szCs w:val="32"/>
          <w:lang w:val="en-US" w:eastAsia="zh-CN"/>
        </w:rPr>
      </w:pPr>
      <w:r>
        <w:rPr>
          <w:rFonts w:ascii="仿宋_GB2312" w:hAnsi="仿宋_GB2312"/>
          <w:b/>
          <w:bCs/>
          <w:sz w:val="28"/>
          <w:szCs w:val="32"/>
        </w:rPr>
        <w:t>采购方式：</w:t>
      </w:r>
      <w:r>
        <w:rPr>
          <w:rFonts w:hint="eastAsia" w:ascii="仿宋_GB2312" w:hAnsi="仿宋_GB2312"/>
          <w:b/>
          <w:bCs/>
          <w:sz w:val="28"/>
          <w:szCs w:val="32"/>
        </w:rPr>
        <w:t>竞价</w:t>
      </w:r>
      <w:r>
        <w:rPr>
          <w:rFonts w:hint="eastAsia" w:ascii="仿宋_GB2312" w:hAnsi="仿宋_GB2312"/>
          <w:b/>
          <w:bCs/>
          <w:sz w:val="28"/>
          <w:szCs w:val="32"/>
          <w:lang w:val="en-US" w:eastAsia="zh-CN"/>
        </w:rPr>
        <w:t>采购</w:t>
      </w:r>
    </w:p>
    <w:p w14:paraId="148907EA">
      <w:pPr>
        <w:autoSpaceDE w:val="0"/>
        <w:autoSpaceDN w:val="0"/>
        <w:adjustRightInd w:val="0"/>
        <w:snapToGrid w:val="0"/>
        <w:spacing w:line="360" w:lineRule="auto"/>
        <w:ind w:left="1124" w:hanging="1124" w:hangingChars="400"/>
        <w:rPr>
          <w:rFonts w:hint="eastAsia" w:ascii="仿宋_GB2312" w:hAnsi="仿宋_GB2312"/>
          <w:b/>
          <w:bCs/>
          <w:sz w:val="28"/>
          <w:szCs w:val="32"/>
          <w:u w:val="single"/>
        </w:rPr>
      </w:pPr>
      <w:r>
        <w:rPr>
          <w:rFonts w:ascii="仿宋_GB2312" w:hAnsi="仿宋_GB2312"/>
          <w:b/>
          <w:bCs/>
          <w:sz w:val="28"/>
          <w:szCs w:val="32"/>
        </w:rPr>
        <w:t>项目</w:t>
      </w:r>
      <w:r>
        <w:rPr>
          <w:rFonts w:hint="eastAsia" w:ascii="仿宋_GB2312" w:hAnsi="仿宋_GB2312"/>
          <w:b/>
          <w:bCs/>
          <w:sz w:val="28"/>
          <w:szCs w:val="32"/>
        </w:rPr>
        <w:t>名称：</w:t>
      </w:r>
      <w:r>
        <w:rPr>
          <w:rFonts w:hint="eastAsia" w:ascii="仿宋_GB2312" w:hAnsi="仿宋_GB2312"/>
          <w:b/>
          <w:bCs/>
          <w:sz w:val="28"/>
          <w:szCs w:val="32"/>
          <w:u w:val="single"/>
        </w:rPr>
        <w:t>深圳大学城图书馆</w:t>
      </w:r>
      <w:r>
        <w:rPr>
          <w:rFonts w:hint="eastAsia" w:ascii="仿宋_GB2312" w:hAnsi="仿宋_GB2312"/>
          <w:b/>
          <w:bCs/>
          <w:sz w:val="28"/>
          <w:szCs w:val="32"/>
          <w:u w:val="single"/>
          <w:lang w:val="en-US" w:eastAsia="zh-CN"/>
        </w:rPr>
        <w:t>饮水机维护保养</w:t>
      </w:r>
      <w:r>
        <w:rPr>
          <w:rFonts w:hint="eastAsia" w:ascii="仿宋_GB2312" w:hAnsi="仿宋_GB2312"/>
          <w:b/>
          <w:bCs/>
          <w:sz w:val="28"/>
          <w:szCs w:val="32"/>
          <w:u w:val="single"/>
        </w:rPr>
        <w:t>项目</w:t>
      </w:r>
    </w:p>
    <w:p w14:paraId="2EF7BD0B">
      <w:pPr>
        <w:snapToGrid w:val="0"/>
        <w:spacing w:before="156" w:beforeLines="50" w:after="156" w:afterLines="50" w:line="360" w:lineRule="auto"/>
        <w:jc w:val="center"/>
        <w:rPr>
          <w:rFonts w:hint="eastAsia" w:ascii="黑体" w:hAnsi="华文中宋" w:eastAsia="黑体" w:cs="华文中宋"/>
          <w:sz w:val="30"/>
          <w:szCs w:val="30"/>
        </w:rPr>
      </w:pPr>
    </w:p>
    <w:p w14:paraId="3059EB3D">
      <w:pPr>
        <w:autoSpaceDE w:val="0"/>
        <w:autoSpaceDN w:val="0"/>
        <w:adjustRightInd w:val="0"/>
        <w:snapToGrid w:val="0"/>
        <w:spacing w:before="156" w:beforeLines="50" w:after="156" w:afterLines="50" w:line="360" w:lineRule="auto"/>
        <w:jc w:val="center"/>
        <w:rPr>
          <w:rFonts w:hint="eastAsia" w:ascii="黑体" w:hAnsi="华文中宋" w:eastAsia="黑体" w:cs="华文中宋"/>
          <w:kern w:val="0"/>
          <w:sz w:val="30"/>
          <w:szCs w:val="30"/>
        </w:rPr>
      </w:pPr>
    </w:p>
    <w:p w14:paraId="2309ADCB">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7A109FF1">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007F5432">
      <w:pPr>
        <w:autoSpaceDE w:val="0"/>
        <w:autoSpaceDN w:val="0"/>
        <w:adjustRightInd w:val="0"/>
        <w:snapToGrid w:val="0"/>
        <w:spacing w:line="360" w:lineRule="auto"/>
        <w:ind w:left="420" w:firstLine="420"/>
        <w:jc w:val="center"/>
        <w:rPr>
          <w:rFonts w:hint="eastAsia" w:ascii="仿宋_GB2312" w:hAnsi="仿宋_GB2312"/>
          <w:b/>
          <w:bCs/>
          <w:sz w:val="28"/>
          <w:szCs w:val="32"/>
        </w:rPr>
      </w:pPr>
      <w:r>
        <w:rPr>
          <w:rFonts w:ascii="仿宋_GB2312" w:hAnsi="仿宋_GB2312"/>
          <w:b/>
          <w:bCs/>
          <w:sz w:val="28"/>
          <w:szCs w:val="32"/>
        </w:rPr>
        <w:t>深圳大学城</w:t>
      </w:r>
      <w:r>
        <w:rPr>
          <w:rFonts w:hint="eastAsia" w:ascii="仿宋_GB2312" w:hAnsi="仿宋_GB2312"/>
          <w:b/>
          <w:bCs/>
          <w:sz w:val="28"/>
          <w:szCs w:val="32"/>
        </w:rPr>
        <w:t>图书馆</w:t>
      </w:r>
    </w:p>
    <w:p w14:paraId="2ACC247B">
      <w:pPr>
        <w:autoSpaceDE w:val="0"/>
        <w:autoSpaceDN w:val="0"/>
        <w:adjustRightInd w:val="0"/>
        <w:snapToGrid w:val="0"/>
        <w:spacing w:line="360" w:lineRule="auto"/>
        <w:ind w:left="420" w:firstLine="420"/>
        <w:jc w:val="center"/>
        <w:rPr>
          <w:rFonts w:hint="eastAsia" w:ascii="仿宋_GB2312" w:hAnsi="仿宋_GB2312"/>
          <w:sz w:val="28"/>
        </w:rPr>
      </w:pPr>
      <w:r>
        <w:rPr>
          <w:rFonts w:hint="eastAsia" w:ascii="仿宋_GB2312" w:hAnsi="仿宋_GB2312"/>
          <w:b/>
          <w:sz w:val="28"/>
        </w:rPr>
        <w:t>2024年</w:t>
      </w:r>
      <w:r>
        <w:rPr>
          <w:rFonts w:hint="eastAsia" w:ascii="仿宋_GB2312" w:hAnsi="仿宋_GB2312"/>
          <w:b/>
          <w:sz w:val="28"/>
          <w:lang w:val="en-US" w:eastAsia="zh-CN"/>
        </w:rPr>
        <w:t>9</w:t>
      </w:r>
      <w:r>
        <w:rPr>
          <w:rFonts w:ascii="仿宋_GB2312" w:hAnsi="仿宋_GB2312"/>
          <w:b/>
          <w:sz w:val="28"/>
        </w:rPr>
        <w:t>月</w:t>
      </w:r>
    </w:p>
    <w:p w14:paraId="779BFFD7">
      <w:pPr>
        <w:autoSpaceDE w:val="0"/>
        <w:autoSpaceDN w:val="0"/>
        <w:adjustRightInd w:val="0"/>
        <w:snapToGrid w:val="0"/>
        <w:spacing w:line="360" w:lineRule="auto"/>
        <w:ind w:left="420" w:firstLine="420"/>
        <w:jc w:val="center"/>
        <w:rPr>
          <w:rFonts w:hint="eastAsia" w:ascii="仿宋_GB2312" w:hAnsi="仿宋_GB2312"/>
          <w:b/>
          <w:bCs/>
          <w:sz w:val="28"/>
          <w:szCs w:val="32"/>
        </w:rPr>
        <w:sectPr>
          <w:headerReference r:id="rId3" w:type="default"/>
          <w:pgSz w:w="11906" w:h="16838"/>
          <w:pgMar w:top="1440" w:right="1800" w:bottom="1440" w:left="1800" w:header="851" w:footer="992" w:gutter="0"/>
          <w:cols w:space="720" w:num="1"/>
          <w:docGrid w:type="lines" w:linePitch="312" w:charSpace="0"/>
        </w:sectPr>
      </w:pPr>
    </w:p>
    <w:p w14:paraId="4806A4CB">
      <w:pPr>
        <w:pStyle w:val="40"/>
        <w:spacing w:before="0" w:after="0"/>
      </w:pPr>
      <w:r>
        <w:rPr>
          <w:rFonts w:hint="eastAsia"/>
        </w:rPr>
        <w:t>第一章 竞价须知</w:t>
      </w:r>
    </w:p>
    <w:p w14:paraId="097EC390">
      <w:pPr>
        <w:pStyle w:val="85"/>
        <w:numPr>
          <w:ilvl w:val="0"/>
          <w:numId w:val="3"/>
        </w:numPr>
        <w:spacing w:line="360" w:lineRule="auto"/>
        <w:ind w:firstLineChars="0"/>
        <w:rPr>
          <w:rFonts w:hint="eastAsia" w:ascii="宋体" w:hAnsi="宋体"/>
        </w:rPr>
      </w:pPr>
      <w:r>
        <w:rPr>
          <w:rFonts w:hint="eastAsia" w:ascii="宋体" w:hAnsi="宋体"/>
          <w:szCs w:val="21"/>
        </w:rPr>
        <w:t>本项目通过大学城图书馆网上竞价系统进行竞价，参与竞价的供应商必须登录平台进行注册，注册成功后方可参与项目竞价。</w:t>
      </w:r>
    </w:p>
    <w:p w14:paraId="1B352865">
      <w:pPr>
        <w:pStyle w:val="85"/>
        <w:numPr>
          <w:ilvl w:val="0"/>
          <w:numId w:val="3"/>
        </w:numPr>
        <w:spacing w:line="360" w:lineRule="auto"/>
        <w:ind w:firstLineChars="0"/>
        <w:rPr>
          <w:rFonts w:hint="eastAsia" w:ascii="宋体" w:hAnsi="宋体"/>
        </w:rPr>
      </w:pPr>
      <w:r>
        <w:rPr>
          <w:rFonts w:hint="eastAsia" w:ascii="宋体" w:hAnsi="宋体"/>
        </w:rPr>
        <w:t>竞价须知</w:t>
      </w:r>
    </w:p>
    <w:p w14:paraId="799EE4E8">
      <w:pPr>
        <w:pStyle w:val="85"/>
        <w:numPr>
          <w:ilvl w:val="0"/>
          <w:numId w:val="4"/>
        </w:numPr>
        <w:spacing w:line="360" w:lineRule="auto"/>
        <w:ind w:firstLineChars="0"/>
        <w:rPr>
          <w:rFonts w:hint="eastAsia" w:ascii="宋体" w:hAnsi="宋体"/>
          <w:b/>
        </w:rPr>
      </w:pPr>
      <w:r>
        <w:rPr>
          <w:rStyle w:val="46"/>
          <w:rFonts w:hint="eastAsia" w:ascii="宋体" w:hAnsi="宋体"/>
          <w:bCs w:val="0"/>
        </w:rPr>
        <w:t>竞价说明</w:t>
      </w:r>
    </w:p>
    <w:p w14:paraId="713C1F16">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参与竞价的供应商应承担所有与准备和参加竞价有关的费用</w:t>
      </w:r>
      <w:r>
        <w:rPr>
          <w:rFonts w:hint="eastAsia" w:ascii="宋体" w:hAnsi="宋体" w:cs="宋体"/>
          <w:szCs w:val="21"/>
        </w:rPr>
        <w:t>，不论竞价的结果如何，采购人无义务和责任承担这些费用。</w:t>
      </w:r>
    </w:p>
    <w:p w14:paraId="280CCEE6">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bCs/>
          <w:szCs w:val="21"/>
        </w:rPr>
        <w:t>供应商必须按竞价附件的格式填写，不得随意增加或删除表格内容。除单价、金额或项目要求填写的内容外，不得擅自改动竞价附件内容，否则将有可能影响成交结果，不推荐为成交候选人。</w:t>
      </w:r>
    </w:p>
    <w:p w14:paraId="533C858D">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szCs w:val="21"/>
          <w:lang w:val="zh-CN"/>
        </w:rPr>
        <w:t>供应商需对用户需求书的所有条款进行整体响应，用户需求书条款若有一条负偏离或不响应，</w:t>
      </w:r>
      <w:r>
        <w:rPr>
          <w:rFonts w:hint="eastAsia" w:ascii="宋体" w:hAnsi="宋体"/>
          <w:bCs/>
          <w:szCs w:val="21"/>
        </w:rPr>
        <w:t>不推荐为成交候选人</w:t>
      </w:r>
      <w:r>
        <w:rPr>
          <w:rFonts w:hint="eastAsia" w:ascii="宋体" w:hAnsi="宋体"/>
          <w:szCs w:val="21"/>
          <w:lang w:val="zh-CN"/>
        </w:rPr>
        <w:t>。</w:t>
      </w:r>
    </w:p>
    <w:p w14:paraId="07B6B0EB">
      <w:pPr>
        <w:pStyle w:val="85"/>
        <w:numPr>
          <w:ilvl w:val="0"/>
          <w:numId w:val="5"/>
        </w:numPr>
        <w:spacing w:line="360" w:lineRule="auto"/>
        <w:ind w:firstLineChars="0"/>
        <w:rPr>
          <w:rFonts w:hint="eastAsia" w:ascii="宋体" w:hAnsi="宋体"/>
        </w:rPr>
      </w:pPr>
      <w:r>
        <w:rPr>
          <w:rFonts w:hint="eastAsia" w:ascii="宋体" w:hAnsi="宋体"/>
          <w:szCs w:val="21"/>
        </w:rPr>
        <w:t>若成交供应商自身原因无法完成本项目，则采购人有权利保留追究责任。</w:t>
      </w:r>
    </w:p>
    <w:p w14:paraId="5BBD6643">
      <w:pPr>
        <w:pStyle w:val="85"/>
        <w:numPr>
          <w:ilvl w:val="0"/>
          <w:numId w:val="5"/>
        </w:numPr>
        <w:spacing w:line="360" w:lineRule="auto"/>
        <w:ind w:left="640" w:hanging="220" w:firstLineChars="0"/>
        <w:rPr>
          <w:rFonts w:hint="eastAsia" w:ascii="宋体" w:hAnsi="宋体"/>
        </w:rPr>
      </w:pPr>
      <w:r>
        <w:rPr>
          <w:rFonts w:hint="eastAsia" w:ascii="宋体" w:hAnsi="宋体"/>
        </w:rPr>
        <w:t>成交供应商因自身原因被取消成交资格，采购人可重新启动采购或按竞价公告规定顺延推选符合要求的供应商作为成交人。</w:t>
      </w:r>
    </w:p>
    <w:p w14:paraId="1AD4C7EF">
      <w:pPr>
        <w:pStyle w:val="85"/>
        <w:numPr>
          <w:ilvl w:val="0"/>
          <w:numId w:val="5"/>
        </w:numPr>
        <w:spacing w:line="360" w:lineRule="auto"/>
        <w:ind w:left="640" w:hanging="220" w:firstLineChars="0"/>
        <w:rPr>
          <w:rFonts w:hint="eastAsia" w:ascii="宋体" w:hAnsi="宋体"/>
        </w:rPr>
      </w:pPr>
      <w:r>
        <w:rPr>
          <w:rFonts w:hint="eastAsia" w:ascii="宋体" w:hAnsi="宋体"/>
        </w:rPr>
        <w:t>若本项目竞价采购失败，采购人将重新采购，届时采购人有权根据项目具体情况，决定重新采购项目的采购方式。</w:t>
      </w:r>
    </w:p>
    <w:p w14:paraId="1EA5D293">
      <w:pPr>
        <w:pStyle w:val="85"/>
        <w:numPr>
          <w:ilvl w:val="0"/>
          <w:numId w:val="5"/>
        </w:numPr>
        <w:spacing w:line="360" w:lineRule="auto"/>
        <w:ind w:left="640" w:hanging="220" w:firstLineChars="0"/>
        <w:rPr>
          <w:rFonts w:hint="eastAsia" w:ascii="宋体" w:hAnsi="宋体"/>
        </w:rPr>
      </w:pPr>
      <w:r>
        <w:rPr>
          <w:rFonts w:hint="eastAsia" w:ascii="宋体" w:hAnsi="宋体"/>
        </w:rPr>
        <w:t>成交供应商若无正当理由恶意放弃成交资格，采购人有权将拒绝其参加本项目重新组织的竞价采购活动。</w:t>
      </w:r>
    </w:p>
    <w:p w14:paraId="1BA5B920">
      <w:pPr>
        <w:pStyle w:val="85"/>
        <w:numPr>
          <w:ilvl w:val="0"/>
          <w:numId w:val="5"/>
        </w:numPr>
        <w:spacing w:line="360" w:lineRule="auto"/>
        <w:ind w:left="640" w:hanging="220" w:firstLineChars="0"/>
        <w:rPr>
          <w:rFonts w:hint="eastAsia" w:ascii="宋体" w:hAnsi="宋体"/>
          <w:szCs w:val="21"/>
        </w:rPr>
      </w:pPr>
      <w:r>
        <w:rPr>
          <w:rFonts w:hint="eastAsia" w:ascii="宋体" w:hAnsi="宋体"/>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022FD0D1">
      <w:pPr>
        <w:pStyle w:val="85"/>
        <w:numPr>
          <w:ilvl w:val="0"/>
          <w:numId w:val="5"/>
        </w:numPr>
        <w:spacing w:line="360" w:lineRule="auto"/>
        <w:ind w:left="640" w:hanging="220" w:firstLineChars="0"/>
        <w:rPr>
          <w:rFonts w:hint="eastAsia" w:ascii="宋体" w:hAnsi="宋体"/>
        </w:rPr>
      </w:pPr>
      <w:r>
        <w:rPr>
          <w:rFonts w:hint="eastAsia" w:ascii="宋体" w:hAnsi="宋体" w:cs="宋体"/>
          <w:szCs w:val="21"/>
        </w:rPr>
        <w:t>参与竞价的供应商向采购人咨询的有关项目事项，一切以竞价文件规定和竞价公告规定以及本单位的书面答复为准，其他一切形式均为个人意见，不代表本单位的意见；</w:t>
      </w:r>
    </w:p>
    <w:p w14:paraId="5E187C73">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参与竞价的供应商应认真阅读</w:t>
      </w:r>
      <w:r>
        <w:rPr>
          <w:rFonts w:hint="eastAsia" w:ascii="宋体" w:hAnsi="宋体" w:cs="宋体"/>
          <w:szCs w:val="21"/>
        </w:rPr>
        <w:t>、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w:t>
      </w:r>
      <w:r>
        <w:rPr>
          <w:rFonts w:hint="eastAsia" w:ascii="宋体" w:hAnsi="宋体"/>
          <w:szCs w:val="21"/>
        </w:rPr>
        <w:t>或被认定为无效竞价。</w:t>
      </w:r>
    </w:p>
    <w:p w14:paraId="4943A967">
      <w:pPr>
        <w:pStyle w:val="85"/>
        <w:numPr>
          <w:ilvl w:val="0"/>
          <w:numId w:val="5"/>
        </w:numPr>
        <w:spacing w:line="360" w:lineRule="auto"/>
        <w:ind w:left="640" w:hanging="220" w:firstLineChars="0"/>
        <w:rPr>
          <w:rFonts w:hint="eastAsia" w:ascii="宋体" w:hAnsi="宋体"/>
        </w:rPr>
      </w:pPr>
      <w:r>
        <w:rPr>
          <w:rFonts w:hint="eastAsia" w:ascii="宋体" w:hAnsi="宋体"/>
          <w:kern w:val="0"/>
          <w:szCs w:val="21"/>
        </w:rPr>
        <w:t>采购人有权拒绝接受任何不合格的货物或服务，由此产生的费用及相关后果均由成交供应商自行承担。</w:t>
      </w:r>
    </w:p>
    <w:p w14:paraId="0248E7BB">
      <w:pPr>
        <w:pStyle w:val="85"/>
        <w:numPr>
          <w:ilvl w:val="0"/>
          <w:numId w:val="5"/>
        </w:numPr>
        <w:tabs>
          <w:tab w:val="left" w:pos="840"/>
        </w:tabs>
        <w:spacing w:line="360" w:lineRule="auto"/>
        <w:ind w:left="640" w:hanging="220" w:firstLineChars="0"/>
        <w:rPr>
          <w:rFonts w:hint="eastAsia" w:ascii="宋体" w:hAnsi="宋体"/>
        </w:rPr>
      </w:pPr>
      <w:r>
        <w:rPr>
          <w:rFonts w:hint="eastAsia" w:ascii="宋体" w:hAnsi="宋体"/>
        </w:rPr>
        <w:t>供应商认为竞价结果损害其权益的，应按照大学城图书馆网上竞价系统相关指引在规定的时间内向采购人提交书面质疑，不提交的视为无异议，</w:t>
      </w:r>
      <w:r>
        <w:t>逾期提交将不予受理</w:t>
      </w:r>
      <w:r>
        <w:rPr>
          <w:rFonts w:hint="eastAsia" w:ascii="宋体" w:hAnsi="宋体"/>
        </w:rPr>
        <w:t>。</w:t>
      </w:r>
    </w:p>
    <w:p w14:paraId="1F99BBBD">
      <w:pPr>
        <w:pStyle w:val="85"/>
        <w:numPr>
          <w:ilvl w:val="0"/>
          <w:numId w:val="5"/>
        </w:numPr>
        <w:spacing w:line="360" w:lineRule="auto"/>
        <w:ind w:firstLineChars="0"/>
        <w:rPr>
          <w:rFonts w:hint="eastAsia" w:ascii="宋体" w:hAnsi="宋体"/>
        </w:rPr>
      </w:pPr>
      <w:r>
        <w:rPr>
          <w:rFonts w:hint="eastAsia" w:ascii="宋体" w:hAnsi="宋体"/>
          <w:szCs w:val="21"/>
        </w:rPr>
        <w:t>本竞价公告和竞价文件的解释权归</w:t>
      </w:r>
      <w:r>
        <w:rPr>
          <w:rFonts w:hint="eastAsia" w:ascii="宋体" w:hAnsi="宋体" w:cs="宋体"/>
          <w:szCs w:val="21"/>
        </w:rPr>
        <w:t>“深圳大学城图书馆”所有。</w:t>
      </w:r>
    </w:p>
    <w:p w14:paraId="47F7B200">
      <w:pPr>
        <w:pStyle w:val="85"/>
        <w:numPr>
          <w:ilvl w:val="0"/>
          <w:numId w:val="4"/>
        </w:numPr>
        <w:spacing w:line="360" w:lineRule="auto"/>
        <w:ind w:firstLineChars="0"/>
        <w:rPr>
          <w:rFonts w:hint="eastAsia" w:ascii="宋体" w:hAnsi="宋体"/>
        </w:rPr>
      </w:pPr>
      <w:r>
        <w:rPr>
          <w:rFonts w:hint="eastAsia" w:ascii="宋体" w:hAnsi="宋体"/>
          <w:b/>
        </w:rPr>
        <w:t>竞价文件的澄清或修改</w:t>
      </w:r>
    </w:p>
    <w:p w14:paraId="1B4A7DA7">
      <w:pPr>
        <w:pStyle w:val="85"/>
        <w:numPr>
          <w:ilvl w:val="1"/>
          <w:numId w:val="6"/>
        </w:numPr>
        <w:spacing w:line="360" w:lineRule="auto"/>
        <w:ind w:left="640" w:hanging="220" w:firstLineChars="0"/>
        <w:rPr>
          <w:rFonts w:hint="eastAsia" w:ascii="宋体" w:hAnsi="宋体"/>
        </w:rPr>
      </w:pPr>
      <w:r>
        <w:rPr>
          <w:rFonts w:hint="eastAsia" w:ascii="宋体" w:hAnsi="宋体"/>
        </w:rPr>
        <w:t>采购人可以对已发出的竞价文件进行必要的澄清或者修改。澄清或者修改的内容将在大学城图书馆网上竞价系统上发布澄清（更正/变更）公告。</w:t>
      </w:r>
    </w:p>
    <w:p w14:paraId="0A5306D6">
      <w:pPr>
        <w:pStyle w:val="85"/>
        <w:numPr>
          <w:ilvl w:val="1"/>
          <w:numId w:val="6"/>
        </w:numPr>
        <w:spacing w:line="360" w:lineRule="auto"/>
        <w:ind w:left="640" w:hanging="220" w:firstLineChars="0"/>
        <w:rPr>
          <w:rFonts w:hint="eastAsia" w:ascii="宋体" w:hAnsi="宋体"/>
        </w:rPr>
      </w:pPr>
      <w:r>
        <w:rPr>
          <w:rFonts w:hint="eastAsia" w:ascii="宋体" w:hAnsi="宋体"/>
        </w:rPr>
        <w:t>无论澄清或者修改的内容是否影响竞价，平台将通知所有的报名供应商；报名供应商应按要求履行相应的义务；</w:t>
      </w:r>
      <w:r>
        <w:rPr>
          <w:rFonts w:hint="eastAsia" w:ascii="宋体" w:hAnsi="宋体" w:cs="宋体"/>
          <w:szCs w:val="21"/>
        </w:rPr>
        <w:t>如报名截止时间少于一个工作日的，</w:t>
      </w:r>
      <w:r>
        <w:rPr>
          <w:rFonts w:hint="eastAsia" w:ascii="宋体" w:hAnsi="宋体"/>
        </w:rPr>
        <w:t>采购人应当相应顺延报名的截止时间。</w:t>
      </w:r>
    </w:p>
    <w:p w14:paraId="603514A7">
      <w:pPr>
        <w:pStyle w:val="85"/>
        <w:numPr>
          <w:ilvl w:val="1"/>
          <w:numId w:val="6"/>
        </w:numPr>
        <w:spacing w:line="360" w:lineRule="auto"/>
        <w:ind w:left="640" w:hanging="220" w:firstLineChars="0"/>
        <w:rPr>
          <w:rFonts w:hint="eastAsia" w:ascii="宋体" w:hAnsi="宋体"/>
        </w:rPr>
      </w:pPr>
      <w:r>
        <w:rPr>
          <w:rFonts w:hint="eastAsia" w:ascii="宋体" w:hAnsi="宋体"/>
        </w:rPr>
        <w:t>采购人发出的澄清或修改（更正/变更）的内容为竞价文件的组成部分，并对供应商具有约束力。</w:t>
      </w:r>
    </w:p>
    <w:p w14:paraId="57A41FB9">
      <w:pPr>
        <w:pStyle w:val="85"/>
        <w:numPr>
          <w:ilvl w:val="0"/>
          <w:numId w:val="4"/>
        </w:numPr>
        <w:spacing w:line="360" w:lineRule="auto"/>
        <w:ind w:firstLineChars="0"/>
        <w:rPr>
          <w:rFonts w:hint="eastAsia" w:ascii="宋体" w:hAnsi="宋体"/>
          <w:b/>
          <w:bCs/>
        </w:rPr>
      </w:pPr>
      <w:r>
        <w:rPr>
          <w:rFonts w:hint="eastAsia" w:ascii="宋体" w:hAnsi="宋体" w:cs="宋体"/>
          <w:b/>
          <w:bCs/>
          <w:szCs w:val="21"/>
        </w:rPr>
        <w:t>如有要求缴纳投标保证金的项目有下列任一情形发生时，投标保证金将不予退还：</w:t>
      </w:r>
    </w:p>
    <w:p w14:paraId="4E4A0D2D">
      <w:pPr>
        <w:pStyle w:val="85"/>
        <w:numPr>
          <w:ilvl w:val="1"/>
          <w:numId w:val="7"/>
        </w:numPr>
        <w:spacing w:line="360" w:lineRule="auto"/>
        <w:ind w:firstLineChars="0"/>
        <w:rPr>
          <w:rFonts w:hint="eastAsia" w:ascii="宋体" w:hAnsi="宋体"/>
        </w:rPr>
      </w:pPr>
      <w:r>
        <w:rPr>
          <w:rFonts w:hint="eastAsia" w:ascii="宋体" w:hAnsi="宋体"/>
        </w:rPr>
        <w:t>供应商在项目相关公告以及竞价文件等相关规定的报名报价有效期内撤销其报价的；</w:t>
      </w:r>
    </w:p>
    <w:p w14:paraId="51F7DE1F">
      <w:pPr>
        <w:pStyle w:val="85"/>
        <w:numPr>
          <w:ilvl w:val="1"/>
          <w:numId w:val="7"/>
        </w:numPr>
        <w:spacing w:line="360" w:lineRule="auto"/>
        <w:ind w:left="640" w:hanging="220" w:firstLineChars="0"/>
        <w:rPr>
          <w:rFonts w:hint="eastAsia" w:ascii="宋体" w:hAnsi="宋体"/>
        </w:rPr>
      </w:pPr>
      <w:r>
        <w:rPr>
          <w:rFonts w:hint="eastAsia" w:ascii="宋体" w:hAnsi="宋体"/>
        </w:rPr>
        <w:t>获取成交资格后无正当理由放弃成交资格或成交人拒绝与采购人签订合同的；</w:t>
      </w:r>
    </w:p>
    <w:p w14:paraId="77669FE4">
      <w:pPr>
        <w:pStyle w:val="85"/>
        <w:numPr>
          <w:ilvl w:val="1"/>
          <w:numId w:val="7"/>
        </w:numPr>
        <w:spacing w:line="360" w:lineRule="auto"/>
        <w:ind w:left="640" w:hanging="220" w:firstLineChars="0"/>
      </w:pPr>
      <w:r>
        <w:rPr>
          <w:rFonts w:hint="eastAsia" w:ascii="宋体" w:hAnsi="宋体"/>
        </w:rPr>
        <w:t>其他因成交人的原因被认定取消成交资格的。</w:t>
      </w:r>
    </w:p>
    <w:p w14:paraId="5C4423F9">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报名要求（</w:t>
      </w:r>
      <w:r>
        <w:rPr>
          <w:rFonts w:hint="eastAsia" w:ascii="宋体" w:hAnsi="宋体"/>
          <w:szCs w:val="21"/>
        </w:rPr>
        <w:t>参与竞价的</w:t>
      </w:r>
      <w:r>
        <w:rPr>
          <w:rStyle w:val="46"/>
          <w:rFonts w:hint="eastAsia" w:ascii="宋体" w:hAnsi="宋体"/>
          <w:bCs w:val="0"/>
        </w:rPr>
        <w:t>供应商资质要求:</w:t>
      </w:r>
      <w:r>
        <w:rPr>
          <w:rStyle w:val="46"/>
          <w:rFonts w:hint="eastAsia" w:ascii="宋体" w:hAnsi="宋体"/>
          <w:b w:val="0"/>
          <w:szCs w:val="21"/>
        </w:rPr>
        <w:t xml:space="preserve"> </w:t>
      </w:r>
      <w:r>
        <w:rPr>
          <w:rStyle w:val="46"/>
          <w:rFonts w:hint="eastAsia" w:ascii="宋体" w:hAnsi="宋体"/>
          <w:b w:val="0"/>
          <w:szCs w:val="21"/>
          <w:highlight w:val="red"/>
        </w:rPr>
        <w:t>报名时需要提供以下</w:t>
      </w:r>
      <w:r>
        <w:rPr>
          <w:rStyle w:val="46"/>
          <w:rFonts w:hint="eastAsia" w:ascii="宋体" w:hAnsi="宋体"/>
          <w:szCs w:val="21"/>
          <w:highlight w:val="red"/>
          <w:u w:val="double"/>
        </w:rPr>
        <w:t>盖章</w:t>
      </w:r>
      <w:r>
        <w:rPr>
          <w:rStyle w:val="46"/>
          <w:rFonts w:hint="eastAsia" w:ascii="宋体" w:hAnsi="宋体"/>
          <w:b w:val="0"/>
          <w:szCs w:val="21"/>
          <w:highlight w:val="red"/>
        </w:rPr>
        <w:t>资料</w:t>
      </w:r>
      <w:r>
        <w:rPr>
          <w:rStyle w:val="46"/>
          <w:rFonts w:hint="eastAsia" w:ascii="宋体" w:hAnsi="宋体"/>
          <w:b w:val="0"/>
          <w:szCs w:val="21"/>
        </w:rPr>
        <w:t>，</w:t>
      </w:r>
      <w:r>
        <w:rPr>
          <w:rFonts w:hint="eastAsia" w:ascii="宋体" w:hAnsi="宋体"/>
          <w:szCs w:val="21"/>
        </w:rPr>
        <w:t>并对上传的报名文件资料承担责任</w:t>
      </w:r>
      <w:r>
        <w:rPr>
          <w:rStyle w:val="46"/>
          <w:rFonts w:hint="eastAsia" w:ascii="宋体" w:hAnsi="宋体"/>
          <w:bCs w:val="0"/>
        </w:rPr>
        <w:t>）</w:t>
      </w:r>
    </w:p>
    <w:p w14:paraId="5CDABBC5">
      <w:pPr>
        <w:numPr>
          <w:ilvl w:val="0"/>
          <w:numId w:val="8"/>
        </w:numPr>
        <w:autoSpaceDE w:val="0"/>
        <w:autoSpaceDN w:val="0"/>
        <w:spacing w:line="360" w:lineRule="auto"/>
        <w:ind w:left="567" w:hanging="147"/>
        <w:rPr>
          <w:rFonts w:hint="eastAsia" w:ascii="宋体" w:hAnsi="宋体"/>
          <w:szCs w:val="21"/>
        </w:rPr>
      </w:pPr>
      <w:r>
        <w:rPr>
          <w:rFonts w:hint="eastAsia" w:ascii="宋体" w:hAnsi="宋体"/>
          <w:szCs w:val="21"/>
        </w:rPr>
        <w:t>具有独立法人资格或具有独立承担民事责任的能力的其它组织（提供营业执照或事业单位法人证等法人证明扫描件，原件备查）；</w:t>
      </w:r>
      <w:r>
        <w:rPr>
          <w:rFonts w:ascii="宋体" w:hAnsi="宋体"/>
          <w:szCs w:val="21"/>
        </w:rPr>
        <w:t xml:space="preserve"> </w:t>
      </w:r>
    </w:p>
    <w:p w14:paraId="2F130280">
      <w:pPr>
        <w:numPr>
          <w:ilvl w:val="0"/>
          <w:numId w:val="8"/>
        </w:numPr>
        <w:autoSpaceDE w:val="0"/>
        <w:autoSpaceDN w:val="0"/>
        <w:spacing w:line="360" w:lineRule="auto"/>
        <w:ind w:left="640" w:hanging="220"/>
        <w:rPr>
          <w:rFonts w:hint="eastAsia" w:ascii="宋体" w:hAnsi="宋体" w:cs="仿宋"/>
          <w:szCs w:val="21"/>
        </w:rPr>
      </w:pPr>
      <w:r>
        <w:rPr>
          <w:rFonts w:hint="eastAsia" w:ascii="宋体" w:hAnsi="宋体"/>
          <w:szCs w:val="21"/>
        </w:rPr>
        <w:t>符合《中华人民共和国政府采购法》第二十二条的规定。</w:t>
      </w:r>
      <w:r>
        <w:rPr>
          <w:rFonts w:hint="eastAsia" w:ascii="宋体" w:hAnsi="宋体" w:cs="仿宋"/>
          <w:szCs w:val="21"/>
        </w:rPr>
        <w:t>本项目不允许分包，不接受联合报价。</w:t>
      </w:r>
      <w:r>
        <w:rPr>
          <w:rFonts w:hint="eastAsia" w:ascii="宋体" w:hAnsi="宋体" w:cs="宋体"/>
          <w:kern w:val="0"/>
          <w:szCs w:val="21"/>
        </w:rPr>
        <w:t>供应商须提供供应商资格声明函</w:t>
      </w:r>
      <w:r>
        <w:rPr>
          <w:rFonts w:hint="eastAsia" w:ascii="宋体" w:hAnsi="宋体" w:cs="宋体"/>
          <w:b/>
          <w:kern w:val="0"/>
          <w:szCs w:val="21"/>
        </w:rPr>
        <w:t>，格式详见附件；</w:t>
      </w:r>
    </w:p>
    <w:p w14:paraId="1612C50C">
      <w:pPr>
        <w:numPr>
          <w:ilvl w:val="0"/>
          <w:numId w:val="8"/>
        </w:numPr>
        <w:autoSpaceDE w:val="0"/>
        <w:autoSpaceDN w:val="0"/>
        <w:spacing w:line="360" w:lineRule="auto"/>
        <w:ind w:left="640" w:hanging="220"/>
      </w:pPr>
      <w:r>
        <w:rPr>
          <w:rFonts w:hint="eastAsia" w:ascii="宋体" w:hAnsi="宋体" w:cs="宋体"/>
          <w:kern w:val="0"/>
          <w:szCs w:val="21"/>
        </w:rPr>
        <w:t>供应商完全响应本项目用户需求的条款、内容及要求的，提供用户需求书响应声明函即可</w:t>
      </w:r>
      <w:r>
        <w:rPr>
          <w:rFonts w:hint="eastAsia" w:ascii="宋体" w:hAnsi="宋体" w:cs="宋体"/>
          <w:b/>
          <w:kern w:val="0"/>
          <w:szCs w:val="21"/>
        </w:rPr>
        <w:t>，格式详见附件</w:t>
      </w:r>
      <w:r>
        <w:rPr>
          <w:rFonts w:hint="eastAsia" w:ascii="宋体" w:hAnsi="宋体" w:cs="宋体"/>
          <w:kern w:val="0"/>
          <w:szCs w:val="21"/>
        </w:rPr>
        <w:t>。</w:t>
      </w:r>
    </w:p>
    <w:p w14:paraId="48CDAEAA">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报价要求</w:t>
      </w:r>
      <w:r>
        <w:rPr>
          <w:rStyle w:val="46"/>
          <w:rFonts w:hint="eastAsia" w:ascii="宋体" w:hAnsi="宋体"/>
          <w:szCs w:val="21"/>
        </w:rPr>
        <w:t>（</w:t>
      </w:r>
      <w:r>
        <w:rPr>
          <w:rStyle w:val="46"/>
          <w:rFonts w:hint="eastAsia" w:ascii="宋体" w:hAnsi="宋体"/>
          <w:b w:val="0"/>
          <w:szCs w:val="21"/>
          <w:highlight w:val="red"/>
        </w:rPr>
        <w:t>报价时需要提供以下</w:t>
      </w:r>
      <w:r>
        <w:rPr>
          <w:rStyle w:val="46"/>
          <w:rFonts w:hint="eastAsia" w:ascii="宋体" w:hAnsi="宋体"/>
          <w:szCs w:val="21"/>
          <w:highlight w:val="red"/>
          <w:u w:val="double"/>
        </w:rPr>
        <w:t>盖章</w:t>
      </w:r>
      <w:r>
        <w:rPr>
          <w:rStyle w:val="46"/>
          <w:rFonts w:hint="eastAsia" w:ascii="宋体" w:hAnsi="宋体"/>
          <w:b w:val="0"/>
          <w:szCs w:val="21"/>
          <w:highlight w:val="red"/>
        </w:rPr>
        <w:t>资料</w:t>
      </w:r>
      <w:r>
        <w:rPr>
          <w:rStyle w:val="46"/>
          <w:rFonts w:hint="eastAsia" w:ascii="宋体" w:hAnsi="宋体"/>
          <w:b w:val="0"/>
          <w:szCs w:val="21"/>
        </w:rPr>
        <w:t>，</w:t>
      </w:r>
      <w:r>
        <w:rPr>
          <w:rFonts w:hint="eastAsia" w:ascii="宋体" w:hAnsi="宋体"/>
          <w:szCs w:val="21"/>
        </w:rPr>
        <w:t>并对上传的竞价文件资料承担责任</w:t>
      </w:r>
      <w:r>
        <w:rPr>
          <w:rStyle w:val="46"/>
          <w:rFonts w:hint="eastAsia" w:ascii="宋体" w:hAnsi="宋体"/>
          <w:szCs w:val="21"/>
        </w:rPr>
        <w:t>）</w:t>
      </w:r>
    </w:p>
    <w:p w14:paraId="1C4A43E5">
      <w:pPr>
        <w:pStyle w:val="85"/>
        <w:numPr>
          <w:ilvl w:val="0"/>
          <w:numId w:val="9"/>
        </w:numPr>
        <w:spacing w:line="360" w:lineRule="auto"/>
        <w:ind w:left="640" w:hanging="220" w:firstLineChars="0"/>
        <w:rPr>
          <w:rFonts w:hint="eastAsia" w:ascii="宋体" w:hAnsi="宋体"/>
        </w:rPr>
      </w:pPr>
      <w:r>
        <w:rPr>
          <w:rFonts w:hint="eastAsia" w:ascii="宋体" w:hAnsi="宋体"/>
          <w:szCs w:val="21"/>
        </w:rPr>
        <w:t>已报名供应商应根据本公告要求，在规定的竞价时间内对采购项目进行报价，同时按本公告要求完整</w:t>
      </w:r>
      <w:r>
        <w:rPr>
          <w:rFonts w:hint="eastAsia" w:ascii="宋体" w:hAnsi="宋体" w:cs="宋体"/>
          <w:szCs w:val="21"/>
        </w:rPr>
        <w:t>、真实、准确地填写并</w:t>
      </w:r>
      <w:r>
        <w:rPr>
          <w:rFonts w:hint="eastAsia" w:ascii="宋体" w:hAnsi="宋体"/>
          <w:szCs w:val="21"/>
        </w:rPr>
        <w:t>上传相应报价附件（</w:t>
      </w:r>
      <w:r>
        <w:rPr>
          <w:b/>
        </w:rPr>
        <w:t>报价表</w:t>
      </w:r>
      <w:r>
        <w:rPr>
          <w:rFonts w:hint="eastAsia" w:ascii="宋体" w:hAnsi="宋体"/>
          <w:szCs w:val="21"/>
        </w:rPr>
        <w:t>）；</w:t>
      </w:r>
    </w:p>
    <w:p w14:paraId="495E02BC">
      <w:pPr>
        <w:pStyle w:val="85"/>
        <w:numPr>
          <w:ilvl w:val="0"/>
          <w:numId w:val="9"/>
        </w:numPr>
        <w:spacing w:line="360" w:lineRule="auto"/>
        <w:ind w:left="640" w:hanging="220" w:firstLineChars="0"/>
        <w:rPr>
          <w:rFonts w:hint="eastAsia" w:ascii="宋体" w:hAnsi="宋体"/>
          <w:b/>
          <w:szCs w:val="21"/>
          <w:u w:val="double"/>
        </w:rPr>
      </w:pPr>
      <w:r>
        <w:rPr>
          <w:rFonts w:hint="eastAsia" w:ascii="宋体" w:hAnsi="宋体"/>
          <w:b/>
          <w:szCs w:val="21"/>
          <w:u w:val="double"/>
        </w:rPr>
        <w:t>竞价公告中提及的报价次数为报价机会，</w:t>
      </w:r>
      <w:r>
        <w:rPr>
          <w:rFonts w:hint="eastAsia"/>
          <w:b/>
          <w:szCs w:val="21"/>
          <w:u w:val="double"/>
          <w:shd w:val="clear" w:color="auto" w:fill="FFFFFF"/>
        </w:rPr>
        <w:t>以报价供应商的最后一次报价为准。</w:t>
      </w:r>
    </w:p>
    <w:p w14:paraId="77CE001A">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确定成交候选人</w:t>
      </w:r>
    </w:p>
    <w:p w14:paraId="4CD728E8">
      <w:pPr>
        <w:pStyle w:val="85"/>
        <w:spacing w:line="360" w:lineRule="auto"/>
        <w:ind w:firstLine="525" w:firstLineChars="250"/>
        <w:rPr>
          <w:rStyle w:val="46"/>
          <w:rFonts w:hint="eastAsia" w:ascii="宋体" w:hAnsi="宋体"/>
          <w:b w:val="0"/>
          <w:bCs w:val="0"/>
        </w:rPr>
      </w:pPr>
      <w:r>
        <w:rPr>
          <w:rFonts w:hint="eastAsia" w:ascii="宋体" w:hAnsi="宋体"/>
          <w:szCs w:val="21"/>
        </w:rPr>
        <w:t>本项目以最低价中标的方式确定成交供应商。报价时间截止后，</w:t>
      </w:r>
      <w:r>
        <w:rPr>
          <w:rFonts w:hint="eastAsia" w:ascii="宋体" w:hAnsi="宋体"/>
        </w:rPr>
        <w:t>报价最低的为第一成交候选人，报价相同的，按报价时间在前的为第一成交候选人；</w:t>
      </w:r>
      <w:r>
        <w:rPr>
          <w:rFonts w:hint="eastAsia" w:ascii="宋体" w:hAnsi="宋体"/>
          <w:szCs w:val="21"/>
        </w:rPr>
        <w:t>报价次低的为第二成交候选人，以此类推</w:t>
      </w:r>
      <w:r>
        <w:rPr>
          <w:rFonts w:hint="eastAsia" w:ascii="宋体" w:hAnsi="宋体"/>
        </w:rPr>
        <w:t>。</w:t>
      </w:r>
    </w:p>
    <w:p w14:paraId="12090A1D">
      <w:pPr>
        <w:pStyle w:val="85"/>
        <w:numPr>
          <w:ilvl w:val="0"/>
          <w:numId w:val="4"/>
        </w:numPr>
        <w:spacing w:line="360" w:lineRule="auto"/>
        <w:ind w:firstLineChars="0"/>
        <w:rPr>
          <w:rFonts w:hint="eastAsia" w:ascii="宋体" w:hAnsi="宋体"/>
          <w:b/>
          <w:szCs w:val="21"/>
        </w:rPr>
      </w:pPr>
      <w:r>
        <w:rPr>
          <w:rFonts w:hint="eastAsia" w:ascii="宋体" w:hAnsi="宋体"/>
          <w:b/>
          <w:szCs w:val="21"/>
        </w:rPr>
        <w:t>无效报价</w:t>
      </w:r>
    </w:p>
    <w:p w14:paraId="790B4BF3">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rPr>
        <w:t>供应商报价超过最高限价或低于最低限价或超过项目对应产品单项最高限价的视为无效报价。</w:t>
      </w:r>
    </w:p>
    <w:p w14:paraId="7404ADCD">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供应商须提供本项目要求的资质文件，如果不按公告规定或竞价文件要求等相关规定提供符合要求的资质文件，将被视为无效报价。</w:t>
      </w:r>
    </w:p>
    <w:p w14:paraId="3541C2A6">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供应商须对本项目采购内容进行整体报价，任何只对其中一部分内容进行的报价都被视为无效报价。</w:t>
      </w:r>
    </w:p>
    <w:p w14:paraId="76DEB536">
      <w:pPr>
        <w:pStyle w:val="85"/>
        <w:numPr>
          <w:ilvl w:val="0"/>
          <w:numId w:val="10"/>
        </w:numPr>
        <w:spacing w:line="360" w:lineRule="auto"/>
        <w:ind w:left="640" w:hanging="220" w:firstLineChars="0"/>
        <w:rPr>
          <w:rFonts w:hint="eastAsia"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679F7F1F">
      <w:pPr>
        <w:pStyle w:val="39"/>
        <w:numPr>
          <w:ilvl w:val="0"/>
          <w:numId w:val="10"/>
        </w:numPr>
        <w:shd w:val="clear" w:color="auto" w:fill="FFFFFF"/>
        <w:spacing w:before="0" w:beforeAutospacing="0" w:after="0" w:afterAutospacing="0" w:line="276" w:lineRule="auto"/>
        <w:ind w:left="640" w:hanging="220"/>
        <w:rPr>
          <w:rFonts w:hint="eastAsia"/>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526228C1">
      <w:pPr>
        <w:pStyle w:val="39"/>
        <w:numPr>
          <w:ilvl w:val="0"/>
          <w:numId w:val="10"/>
        </w:numPr>
        <w:shd w:val="clear" w:color="auto" w:fill="FFFFFF"/>
        <w:spacing w:before="0" w:beforeAutospacing="0" w:after="0" w:afterAutospacing="0" w:line="360" w:lineRule="auto"/>
        <w:ind w:left="640" w:hanging="220"/>
        <w:rPr>
          <w:rFonts w:hint="eastAsia"/>
          <w:sz w:val="21"/>
          <w:szCs w:val="21"/>
        </w:rPr>
      </w:pPr>
      <w:r>
        <w:rPr>
          <w:rFonts w:hint="eastAsia"/>
          <w:sz w:val="21"/>
          <w:szCs w:val="21"/>
        </w:rPr>
        <w:t>单位负责人为同一人或者存在直接控股、管理关系的不同供应商参加同一合同项下的采购项目竞价的，相关报价均视为无效报价。</w:t>
      </w:r>
    </w:p>
    <w:p w14:paraId="2B6DB746">
      <w:pPr>
        <w:pStyle w:val="39"/>
        <w:numPr>
          <w:ilvl w:val="0"/>
          <w:numId w:val="10"/>
        </w:numPr>
        <w:shd w:val="clear" w:color="auto" w:fill="FFFFFF"/>
        <w:spacing w:before="0" w:beforeAutospacing="0" w:after="0" w:afterAutospacing="0" w:line="360" w:lineRule="auto"/>
        <w:rPr>
          <w:rFonts w:hint="eastAsia"/>
          <w:sz w:val="21"/>
          <w:szCs w:val="21"/>
        </w:rPr>
      </w:pPr>
      <w:r>
        <w:rPr>
          <w:rFonts w:hint="eastAsia"/>
          <w:b/>
          <w:sz w:val="21"/>
          <w:szCs w:val="21"/>
        </w:rPr>
        <w:t>有下列情形之一的，视为串通竞价，其报价无效：</w:t>
      </w:r>
    </w:p>
    <w:p w14:paraId="7B25490C">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不同供应商的响应文件由同一单位或者个人编制；</w:t>
      </w:r>
    </w:p>
    <w:p w14:paraId="384800F7">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不同供应商委托同一单位或者个人办理竞价事宜；</w:t>
      </w:r>
    </w:p>
    <w:p w14:paraId="65AE881F">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不同供应商使用同一IP地址参与竞价；</w:t>
      </w:r>
    </w:p>
    <w:p w14:paraId="510043E5">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不同供应商的响应文件载明的项目管理成员或者联系人员为同一人；</w:t>
      </w:r>
    </w:p>
    <w:p w14:paraId="0D9272DA">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不同供应商的响应文件异常一致或者报价呈规律性差异；</w:t>
      </w:r>
    </w:p>
    <w:p w14:paraId="00129880">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不同供应商的响应文件相互混淆。</w:t>
      </w:r>
    </w:p>
    <w:p w14:paraId="7ABF1F61">
      <w:pPr>
        <w:pStyle w:val="85"/>
        <w:numPr>
          <w:ilvl w:val="0"/>
          <w:numId w:val="4"/>
        </w:numPr>
        <w:spacing w:line="360" w:lineRule="auto"/>
        <w:ind w:firstLineChars="0"/>
        <w:rPr>
          <w:rFonts w:hint="eastAsia" w:ascii="宋体" w:hAnsi="宋体"/>
          <w:szCs w:val="21"/>
        </w:rPr>
      </w:pPr>
      <w:r>
        <w:rPr>
          <w:rFonts w:hint="eastAsia" w:ascii="宋体" w:hAnsi="宋体"/>
          <w:b/>
          <w:szCs w:val="21"/>
        </w:rPr>
        <w:t>竞价活动失败</w:t>
      </w:r>
    </w:p>
    <w:p w14:paraId="37C7817F">
      <w:pPr>
        <w:pStyle w:val="85"/>
        <w:numPr>
          <w:ilvl w:val="0"/>
          <w:numId w:val="12"/>
        </w:numPr>
        <w:spacing w:line="360" w:lineRule="auto"/>
        <w:ind w:firstLineChars="0"/>
        <w:rPr>
          <w:rFonts w:hint="eastAsia" w:ascii="宋体" w:hAnsi="宋体"/>
          <w:szCs w:val="21"/>
        </w:rPr>
      </w:pPr>
      <w:r>
        <w:rPr>
          <w:rFonts w:hint="eastAsia" w:ascii="宋体" w:hAnsi="宋体"/>
        </w:rPr>
        <w:t>报价供应商不足3家，</w:t>
      </w:r>
      <w:r>
        <w:rPr>
          <w:rFonts w:hint="eastAsia" w:ascii="宋体" w:hAnsi="宋体"/>
          <w:szCs w:val="21"/>
        </w:rPr>
        <w:t>本次竞价活动失败。</w:t>
      </w:r>
    </w:p>
    <w:p w14:paraId="4EAFFE87">
      <w:pPr>
        <w:pStyle w:val="85"/>
        <w:numPr>
          <w:ilvl w:val="0"/>
          <w:numId w:val="12"/>
        </w:numPr>
        <w:spacing w:line="360" w:lineRule="auto"/>
        <w:ind w:firstLineChars="0"/>
        <w:rPr>
          <w:rFonts w:hint="eastAsia" w:ascii="宋体" w:hAnsi="宋体"/>
          <w:szCs w:val="21"/>
        </w:rPr>
      </w:pPr>
      <w:r>
        <w:rPr>
          <w:rFonts w:ascii="宋体" w:hAnsi="宋体"/>
          <w:szCs w:val="21"/>
        </w:rPr>
        <w:t>出现影响采购公正的违法、违规行为的</w:t>
      </w:r>
      <w:r>
        <w:rPr>
          <w:rFonts w:hint="eastAsia" w:ascii="宋体" w:hAnsi="宋体"/>
          <w:szCs w:val="21"/>
        </w:rPr>
        <w:t>。</w:t>
      </w:r>
    </w:p>
    <w:p w14:paraId="0D4BC53A">
      <w:pPr>
        <w:pStyle w:val="85"/>
        <w:numPr>
          <w:ilvl w:val="0"/>
          <w:numId w:val="12"/>
        </w:numPr>
        <w:spacing w:line="360" w:lineRule="auto"/>
        <w:ind w:firstLineChars="0"/>
        <w:rPr>
          <w:rFonts w:hint="eastAsia" w:ascii="宋体" w:hAnsi="宋体"/>
          <w:szCs w:val="21"/>
        </w:rPr>
      </w:pPr>
      <w:r>
        <w:rPr>
          <w:rFonts w:ascii="宋体" w:hAnsi="宋体"/>
          <w:szCs w:val="21"/>
        </w:rPr>
        <w:t>因重大变故，采购任务取消的</w:t>
      </w:r>
      <w:r>
        <w:rPr>
          <w:rFonts w:hint="eastAsia" w:ascii="宋体" w:hAnsi="宋体"/>
          <w:szCs w:val="21"/>
        </w:rPr>
        <w:t>。</w:t>
      </w:r>
    </w:p>
    <w:p w14:paraId="4837AD10">
      <w:pPr>
        <w:pStyle w:val="85"/>
        <w:numPr>
          <w:ilvl w:val="0"/>
          <w:numId w:val="4"/>
        </w:numPr>
        <w:spacing w:line="360" w:lineRule="auto"/>
        <w:ind w:firstLineChars="0"/>
        <w:rPr>
          <w:rFonts w:hint="eastAsia" w:ascii="宋体" w:hAnsi="宋体"/>
          <w:b/>
          <w:szCs w:val="21"/>
        </w:rPr>
      </w:pPr>
      <w:r>
        <w:rPr>
          <w:rFonts w:hint="eastAsia" w:ascii="宋体" w:hAnsi="宋体"/>
          <w:b/>
          <w:szCs w:val="21"/>
        </w:rPr>
        <w:t>服务费</w:t>
      </w:r>
    </w:p>
    <w:p w14:paraId="504BFF60">
      <w:pPr>
        <w:pStyle w:val="85"/>
        <w:spacing w:line="360" w:lineRule="auto"/>
        <w:ind w:left="420" w:firstLine="0" w:firstLineChars="0"/>
        <w:rPr>
          <w:rFonts w:hint="eastAsia" w:ascii="宋体" w:hAnsi="宋体"/>
        </w:rPr>
      </w:pPr>
      <w:r>
        <w:rPr>
          <w:rFonts w:hint="eastAsia" w:ascii="宋体" w:hAnsi="宋体"/>
        </w:rPr>
        <w:t>大学城图书馆网上竞价系统不收取服务费。</w:t>
      </w:r>
    </w:p>
    <w:p w14:paraId="4191F138">
      <w:pPr>
        <w:pStyle w:val="85"/>
        <w:widowControl/>
        <w:numPr>
          <w:ilvl w:val="0"/>
          <w:numId w:val="3"/>
        </w:numPr>
        <w:spacing w:line="360" w:lineRule="auto"/>
        <w:ind w:firstLineChars="0"/>
        <w:jc w:val="left"/>
        <w:rPr>
          <w:rFonts w:hint="eastAsia" w:ascii="宋体" w:hAnsi="宋体"/>
          <w:b/>
        </w:rPr>
      </w:pPr>
      <w:r>
        <w:rPr>
          <w:rFonts w:hint="eastAsia" w:ascii="宋体" w:hAnsi="宋体"/>
          <w:b/>
        </w:rPr>
        <w:t>联系方式</w:t>
      </w:r>
    </w:p>
    <w:p w14:paraId="57DB8F2D">
      <w:pPr>
        <w:pStyle w:val="85"/>
        <w:widowControl/>
        <w:spacing w:line="360" w:lineRule="auto"/>
        <w:ind w:left="420" w:firstLine="0" w:firstLineChars="0"/>
        <w:jc w:val="left"/>
      </w:pPr>
      <w:r>
        <w:rPr>
          <w:rFonts w:hint="eastAsia"/>
        </w:rPr>
        <w:t xml:space="preserve">采购人：深圳大学城图书馆 </w:t>
      </w:r>
    </w:p>
    <w:p w14:paraId="28FF83BC">
      <w:pPr>
        <w:pStyle w:val="85"/>
        <w:widowControl/>
        <w:spacing w:line="360" w:lineRule="auto"/>
        <w:ind w:left="420" w:firstLine="0" w:firstLineChars="0"/>
        <w:jc w:val="left"/>
      </w:pPr>
      <w:r>
        <w:rPr>
          <w:rFonts w:hint="eastAsia"/>
        </w:rPr>
        <w:t>地址：深圳市南山区西丽丽水路2239号大学城图书馆</w:t>
      </w:r>
      <w:r>
        <w:rPr>
          <w:rFonts w:hint="eastAsia"/>
          <w:lang w:val="en-US" w:eastAsia="zh-CN"/>
        </w:rPr>
        <w:t>3</w:t>
      </w:r>
      <w:r>
        <w:rPr>
          <w:rFonts w:hint="eastAsia"/>
        </w:rPr>
        <w:t>楼办公区</w:t>
      </w:r>
    </w:p>
    <w:p w14:paraId="717FBA1A">
      <w:pPr>
        <w:pStyle w:val="85"/>
        <w:widowControl/>
        <w:spacing w:line="360" w:lineRule="auto"/>
        <w:ind w:left="420" w:firstLine="0" w:firstLineChars="0"/>
        <w:jc w:val="left"/>
        <w:rPr>
          <w:rFonts w:hint="eastAsia" w:eastAsia="宋体"/>
          <w:lang w:eastAsia="zh-CN"/>
        </w:rPr>
      </w:pPr>
      <w:r>
        <w:rPr>
          <w:rFonts w:hint="eastAsia"/>
        </w:rPr>
        <w:t>联系人：</w:t>
      </w:r>
      <w:r>
        <w:rPr>
          <w:rFonts w:hint="eastAsia"/>
          <w:lang w:val="en-US" w:eastAsia="zh-CN"/>
        </w:rPr>
        <w:t>彭邓伟</w:t>
      </w:r>
    </w:p>
    <w:p w14:paraId="19DAFD20">
      <w:pPr>
        <w:pStyle w:val="85"/>
        <w:widowControl/>
        <w:spacing w:line="360" w:lineRule="auto"/>
        <w:ind w:left="420" w:firstLine="0" w:firstLineChars="0"/>
        <w:jc w:val="left"/>
        <w:rPr>
          <w:rFonts w:hint="default" w:eastAsia="宋体"/>
          <w:lang w:val="en-US" w:eastAsia="zh-CN"/>
        </w:rPr>
      </w:pPr>
      <w:r>
        <w:rPr>
          <w:rFonts w:hint="eastAsia"/>
        </w:rPr>
        <w:t>联系方式：0755-2603</w:t>
      </w:r>
      <w:r>
        <w:rPr>
          <w:rFonts w:hint="eastAsia"/>
          <w:lang w:val="en-US" w:eastAsia="zh-CN"/>
        </w:rPr>
        <w:t>2376</w:t>
      </w:r>
    </w:p>
    <w:p w14:paraId="2ED03832">
      <w:pPr>
        <w:widowControl/>
        <w:jc w:val="left"/>
        <w:rPr>
          <w:rFonts w:hint="eastAsia" w:ascii="宋体" w:hAnsi="宋体"/>
          <w:b/>
        </w:rPr>
      </w:pPr>
      <w:r>
        <w:rPr>
          <w:rFonts w:ascii="宋体" w:hAnsi="宋体"/>
          <w:b/>
        </w:rPr>
        <w:br w:type="page"/>
      </w:r>
    </w:p>
    <w:p w14:paraId="574CE85F">
      <w:pPr>
        <w:pStyle w:val="40"/>
      </w:pPr>
      <w:r>
        <w:rPr>
          <w:rFonts w:hint="eastAsia"/>
        </w:rPr>
        <w:t>第二章  用户需求书</w:t>
      </w:r>
    </w:p>
    <w:p w14:paraId="0D2594B1">
      <w:pPr>
        <w:spacing w:line="440" w:lineRule="exact"/>
        <w:ind w:left="517" w:hanging="517"/>
        <w:rPr>
          <w:b/>
          <w:bCs/>
          <w:szCs w:val="21"/>
        </w:rPr>
      </w:pPr>
      <w:bookmarkStart w:id="0" w:name="_Hlk169616740"/>
      <w:r>
        <w:rPr>
          <w:rFonts w:hint="eastAsia" w:ascii="宋体" w:cs="宋体"/>
          <w:b/>
          <w:bCs/>
        </w:rPr>
        <w:t>说明：响应供应商须对本项目进行整体响应，任何只对其中一部分进行的响应都被视为无效响应。</w:t>
      </w:r>
      <w:r>
        <w:rPr>
          <w:rFonts w:ascii="宋体" w:cs="宋体"/>
          <w:b/>
          <w:bCs/>
        </w:rPr>
        <w:t xml:space="preserve"> </w:t>
      </w:r>
      <w:bookmarkEnd w:id="0"/>
    </w:p>
    <w:tbl>
      <w:tblPr>
        <w:tblStyle w:val="43"/>
        <w:tblW w:w="983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1479"/>
        <w:gridCol w:w="3302"/>
        <w:gridCol w:w="1482"/>
        <w:gridCol w:w="3124"/>
      </w:tblGrid>
      <w:tr w14:paraId="086B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18C05CC1">
            <w:r>
              <w:rPr>
                <w:rFonts w:hint="eastAsia"/>
              </w:rPr>
              <w:t>项目名称</w:t>
            </w:r>
          </w:p>
        </w:tc>
        <w:tc>
          <w:tcPr>
            <w:tcW w:w="3302" w:type="dxa"/>
          </w:tcPr>
          <w:p w14:paraId="662B5FB1">
            <w:bookmarkStart w:id="1" w:name="_Hlk169167383"/>
            <w:r>
              <w:rPr>
                <w:rFonts w:hint="eastAsia"/>
              </w:rPr>
              <w:t>深圳大学城图书馆</w:t>
            </w:r>
            <w:r>
              <w:rPr>
                <w:rFonts w:hint="eastAsia"/>
                <w:lang w:val="en-US" w:eastAsia="zh-CN"/>
              </w:rPr>
              <w:t>饮水机维护保养</w:t>
            </w:r>
            <w:r>
              <w:rPr>
                <w:rFonts w:hint="eastAsia"/>
              </w:rPr>
              <w:t>服务项目</w:t>
            </w:r>
            <w:bookmarkEnd w:id="1"/>
          </w:p>
        </w:tc>
        <w:tc>
          <w:tcPr>
            <w:tcW w:w="1482" w:type="dxa"/>
          </w:tcPr>
          <w:p w14:paraId="52EDD4DB">
            <w:r>
              <w:t>采购类型</w:t>
            </w:r>
          </w:p>
        </w:tc>
        <w:tc>
          <w:tcPr>
            <w:tcW w:w="3124" w:type="dxa"/>
          </w:tcPr>
          <w:p w14:paraId="08FE0E46">
            <w:r>
              <w:rPr>
                <w:rFonts w:hint="eastAsia"/>
              </w:rPr>
              <w:t>自行采购</w:t>
            </w:r>
          </w:p>
        </w:tc>
      </w:tr>
      <w:tr w14:paraId="4C6E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3E8EA011">
            <w:r>
              <w:rPr>
                <w:rFonts w:hint="eastAsia"/>
              </w:rPr>
              <w:t>采购人名称</w:t>
            </w:r>
          </w:p>
        </w:tc>
        <w:tc>
          <w:tcPr>
            <w:tcW w:w="3302" w:type="dxa"/>
          </w:tcPr>
          <w:p w14:paraId="5CC182D7">
            <w:r>
              <w:rPr>
                <w:rFonts w:hint="eastAsia"/>
              </w:rPr>
              <w:t>深圳大学城图书馆</w:t>
            </w:r>
          </w:p>
        </w:tc>
        <w:tc>
          <w:tcPr>
            <w:tcW w:w="1482" w:type="dxa"/>
          </w:tcPr>
          <w:p w14:paraId="7CAB4EB3">
            <w:r>
              <w:t>采购方式</w:t>
            </w:r>
          </w:p>
        </w:tc>
        <w:tc>
          <w:tcPr>
            <w:tcW w:w="3124" w:type="dxa"/>
          </w:tcPr>
          <w:p w14:paraId="735B1C9C">
            <w:pPr>
              <w:rPr>
                <w:rFonts w:hint="eastAsia" w:eastAsia="宋体"/>
                <w:lang w:val="en-US" w:eastAsia="zh-CN"/>
              </w:rPr>
            </w:pPr>
            <w:r>
              <w:rPr>
                <w:rFonts w:hint="eastAsia"/>
              </w:rPr>
              <w:t>竞价</w:t>
            </w:r>
            <w:r>
              <w:rPr>
                <w:rFonts w:hint="eastAsia"/>
                <w:lang w:val="en-US" w:eastAsia="zh-CN"/>
              </w:rPr>
              <w:t>采购</w:t>
            </w:r>
          </w:p>
        </w:tc>
      </w:tr>
      <w:tr w14:paraId="5F6C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7054E12E">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财政预算限额（元）</w:t>
            </w:r>
          </w:p>
        </w:tc>
        <w:tc>
          <w:tcPr>
            <w:tcW w:w="3302" w:type="dxa"/>
          </w:tcPr>
          <w:p w14:paraId="74FAC4AF">
            <w:pP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39690</w:t>
            </w:r>
          </w:p>
        </w:tc>
        <w:tc>
          <w:tcPr>
            <w:tcW w:w="1482" w:type="dxa"/>
          </w:tcPr>
          <w:p w14:paraId="7C7598F4">
            <w:pPr>
              <w:rPr>
                <w:rFonts w:hint="eastAsia" w:ascii="宋体" w:hAnsi="宋体" w:eastAsia="宋体" w:cs="宋体"/>
                <w:color w:val="000000" w:themeColor="text1"/>
                <w14:textFill>
                  <w14:solidFill>
                    <w14:schemeClr w14:val="tx1"/>
                  </w14:solidFill>
                </w14:textFill>
              </w:rPr>
            </w:pPr>
          </w:p>
        </w:tc>
        <w:tc>
          <w:tcPr>
            <w:tcW w:w="3124" w:type="dxa"/>
          </w:tcPr>
          <w:p w14:paraId="3296898C">
            <w:pPr>
              <w:rPr>
                <w:rFonts w:hint="eastAsia" w:ascii="宋体" w:hAnsi="宋体" w:eastAsia="宋体" w:cs="宋体"/>
                <w:color w:val="000000" w:themeColor="text1"/>
                <w14:textFill>
                  <w14:solidFill>
                    <w14:schemeClr w14:val="tx1"/>
                  </w14:solidFill>
                </w14:textFill>
              </w:rPr>
            </w:pPr>
          </w:p>
        </w:tc>
      </w:tr>
      <w:tr w14:paraId="38AB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30" w:type="dxa"/>
            <w:gridSpan w:val="2"/>
          </w:tcPr>
          <w:p w14:paraId="2E365478">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项目背景</w:t>
            </w:r>
          </w:p>
        </w:tc>
        <w:tc>
          <w:tcPr>
            <w:tcW w:w="7908" w:type="dxa"/>
            <w:gridSpan w:val="3"/>
          </w:tcPr>
          <w:p w14:paraId="583E72EA">
            <w:pPr>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1"/>
                <w:szCs w:val="22"/>
                <w:lang w:val="en-US" w:eastAsia="zh-CN" w:bidi="ar-SA"/>
                <w14:textFill>
                  <w14:solidFill>
                    <w14:schemeClr w14:val="tx1"/>
                  </w14:solidFill>
                </w14:textFill>
              </w:rPr>
              <w:t>深圳大学城图书馆饮水机采用品牌为“贺众牌”、机型为“UR-313AS-3”的饮水机，分布在图书馆二楼、三楼、四楼，共有9台设备。为保证饮水机的正常工作，需要定期维护、更换耗材、清洁。本项目采购针对深圳大学城图书馆内9台饮水设备为期一年的现场维护保养服务。</w:t>
            </w:r>
          </w:p>
        </w:tc>
      </w:tr>
      <w:tr w14:paraId="2DBE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451" w:type="dxa"/>
          </w:tcPr>
          <w:p w14:paraId="55CAC5BD">
            <w:pPr>
              <w:jc w:val="both"/>
              <w:rPr>
                <w:rFonts w:hint="eastAsia" w:ascii="宋体" w:hAnsi="宋体" w:cs="宋体"/>
                <w:kern w:val="0"/>
                <w:szCs w:val="21"/>
              </w:rPr>
            </w:pPr>
          </w:p>
          <w:p w14:paraId="765CDB89">
            <w:pPr>
              <w:jc w:val="both"/>
              <w:rPr>
                <w:rFonts w:hint="eastAsia" w:ascii="宋体" w:hAnsi="宋体" w:cs="宋体"/>
                <w:kern w:val="0"/>
                <w:szCs w:val="21"/>
              </w:rPr>
            </w:pPr>
          </w:p>
          <w:p w14:paraId="4B434ACA">
            <w:pPr>
              <w:jc w:val="center"/>
              <w:rPr>
                <w:rFonts w:hint="eastAsia" w:ascii="宋体" w:hAnsi="宋体" w:cs="宋体"/>
                <w:kern w:val="0"/>
                <w:szCs w:val="21"/>
              </w:rPr>
            </w:pPr>
            <w:r>
              <w:rPr>
                <w:rFonts w:hint="eastAsia" w:ascii="宋体" w:hAnsi="宋体" w:cs="宋体"/>
                <w:kern w:val="0"/>
                <w:szCs w:val="21"/>
              </w:rPr>
              <w:t>货物清单</w:t>
            </w:r>
          </w:p>
        </w:tc>
        <w:tc>
          <w:tcPr>
            <w:tcW w:w="9387" w:type="dxa"/>
            <w:gridSpan w:val="4"/>
          </w:tcPr>
          <w:p w14:paraId="2B5C4311">
            <w:pPr>
              <w:pStyle w:val="2"/>
              <w:rPr>
                <w:b/>
                <w:bCs/>
                <w:szCs w:val="21"/>
              </w:rPr>
            </w:pPr>
            <w:r>
              <w:rPr>
                <w:rFonts w:hint="eastAsia"/>
                <w:b/>
                <w:bCs/>
                <w:szCs w:val="21"/>
              </w:rPr>
              <w:t>一、工程量清单</w:t>
            </w:r>
          </w:p>
          <w:tbl>
            <w:tblPr>
              <w:tblStyle w:val="43"/>
              <w:tblW w:w="8589" w:type="dxa"/>
              <w:tblInd w:w="0" w:type="dxa"/>
              <w:tblLayout w:type="autofit"/>
              <w:tblCellMar>
                <w:top w:w="0" w:type="dxa"/>
                <w:left w:w="108" w:type="dxa"/>
                <w:bottom w:w="0" w:type="dxa"/>
                <w:right w:w="108" w:type="dxa"/>
              </w:tblCellMar>
            </w:tblPr>
            <w:tblGrid>
              <w:gridCol w:w="498"/>
              <w:gridCol w:w="701"/>
              <w:gridCol w:w="5547"/>
              <w:gridCol w:w="522"/>
              <w:gridCol w:w="616"/>
              <w:gridCol w:w="705"/>
            </w:tblGrid>
            <w:tr w14:paraId="2E318D38">
              <w:tblPrEx>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Pr>
                <w:p w14:paraId="5DD5D65D">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701" w:type="dxa"/>
                  <w:tcBorders>
                    <w:top w:val="single" w:color="000000" w:sz="4" w:space="0"/>
                    <w:left w:val="single" w:color="000000" w:sz="4" w:space="0"/>
                    <w:bottom w:val="single" w:color="000000" w:sz="4" w:space="0"/>
                    <w:right w:val="single" w:color="auto" w:sz="4" w:space="0"/>
                  </w:tcBorders>
                  <w:shd w:val="clear" w:color="auto" w:fill="auto"/>
                </w:tcPr>
                <w:p w14:paraId="494C99AF">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5547" w:type="dxa"/>
                  <w:tcBorders>
                    <w:top w:val="single" w:color="000000" w:sz="4" w:space="0"/>
                    <w:left w:val="single" w:color="auto" w:sz="4" w:space="0"/>
                    <w:bottom w:val="single" w:color="000000" w:sz="4" w:space="0"/>
                    <w:right w:val="single" w:color="000000" w:sz="4" w:space="0"/>
                  </w:tcBorders>
                  <w:shd w:val="clear" w:color="auto" w:fill="auto"/>
                </w:tcPr>
                <w:p w14:paraId="78360D36">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要求</w:t>
                  </w:r>
                </w:p>
              </w:tc>
              <w:tc>
                <w:tcPr>
                  <w:tcW w:w="522" w:type="dxa"/>
                  <w:tcBorders>
                    <w:top w:val="single" w:color="000000" w:sz="4" w:space="0"/>
                    <w:left w:val="single" w:color="000000" w:sz="4" w:space="0"/>
                    <w:bottom w:val="single" w:color="000000" w:sz="4" w:space="0"/>
                    <w:right w:val="single" w:color="000000" w:sz="4" w:space="0"/>
                  </w:tcBorders>
                  <w:shd w:val="clear" w:color="auto" w:fill="auto"/>
                </w:tcPr>
                <w:p w14:paraId="1BB56886">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E4A42A8">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tcPr>
                <w:p w14:paraId="08029A78">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备注</w:t>
                  </w:r>
                </w:p>
              </w:tc>
            </w:tr>
            <w:tr w14:paraId="7DC48522">
              <w:tblPrEx>
                <w:tblCellMar>
                  <w:top w:w="0" w:type="dxa"/>
                  <w:left w:w="108" w:type="dxa"/>
                  <w:bottom w:w="0" w:type="dxa"/>
                  <w:right w:w="108" w:type="dxa"/>
                </w:tblCellMar>
              </w:tblPrEx>
              <w:trPr>
                <w:trHeight w:val="9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Pr>
                <w:p w14:paraId="32A3462D">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01" w:type="dxa"/>
                  <w:tcBorders>
                    <w:top w:val="single" w:color="000000" w:sz="4" w:space="0"/>
                    <w:left w:val="single" w:color="000000" w:sz="4" w:space="0"/>
                    <w:bottom w:val="single" w:color="000000" w:sz="4" w:space="0"/>
                    <w:right w:val="single" w:color="auto" w:sz="4" w:space="0"/>
                  </w:tcBorders>
                  <w:shd w:val="clear" w:color="auto" w:fill="auto"/>
                </w:tcPr>
                <w:p w14:paraId="10F0F1C0">
                  <w:pPr>
                    <w:widowControl/>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饮水机维护保养</w:t>
                  </w:r>
                </w:p>
              </w:tc>
              <w:tc>
                <w:tcPr>
                  <w:tcW w:w="5547" w:type="dxa"/>
                  <w:tcBorders>
                    <w:top w:val="single" w:color="000000" w:sz="4" w:space="0"/>
                    <w:left w:val="single" w:color="auto" w:sz="4" w:space="0"/>
                    <w:bottom w:val="single" w:color="000000" w:sz="4" w:space="0"/>
                    <w:right w:val="single" w:color="000000" w:sz="4" w:space="0"/>
                  </w:tcBorders>
                  <w:shd w:val="clear" w:color="auto" w:fill="auto"/>
                </w:tcPr>
                <w:p w14:paraId="61FCCA52">
                  <w:pPr>
                    <w:pStyle w:val="2"/>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为“贺众牌”、机型为“UR-313AS-3”的饮水机提供日常维护保养：定期维护、更换耗材、清洁。</w:t>
                  </w:r>
                </w:p>
              </w:tc>
              <w:tc>
                <w:tcPr>
                  <w:tcW w:w="522" w:type="dxa"/>
                  <w:tcBorders>
                    <w:top w:val="single" w:color="000000" w:sz="4" w:space="0"/>
                    <w:left w:val="single" w:color="000000" w:sz="4" w:space="0"/>
                    <w:bottom w:val="single" w:color="000000" w:sz="4" w:space="0"/>
                    <w:right w:val="single" w:color="000000" w:sz="4" w:space="0"/>
                  </w:tcBorders>
                  <w:shd w:val="clear" w:color="auto" w:fill="auto"/>
                </w:tcPr>
                <w:p w14:paraId="245642F8">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6B6F16BF">
                  <w:pPr>
                    <w:widowControl/>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tcPr>
                <w:p w14:paraId="0EF53FA8">
                  <w:pPr>
                    <w:widowControl/>
                    <w:rPr>
                      <w:rFonts w:hint="eastAsia" w:ascii="宋体" w:hAnsi="宋体" w:eastAsia="宋体" w:cs="宋体"/>
                      <w:color w:val="000000"/>
                      <w:kern w:val="0"/>
                      <w:sz w:val="21"/>
                      <w:szCs w:val="21"/>
                    </w:rPr>
                  </w:pPr>
                </w:p>
              </w:tc>
            </w:tr>
          </w:tbl>
          <w:p w14:paraId="1C8B3BA7">
            <w:pPr>
              <w:pStyle w:val="37"/>
              <w:spacing w:afterLines="0" w:line="288" w:lineRule="auto"/>
              <w:ind w:firstLine="344" w:firstLineChars="164"/>
            </w:pPr>
          </w:p>
        </w:tc>
      </w:tr>
      <w:tr w14:paraId="0E6A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trPr>
        <w:tc>
          <w:tcPr>
            <w:tcW w:w="451" w:type="dxa"/>
          </w:tcPr>
          <w:p w14:paraId="230D5867">
            <w:pPr>
              <w:jc w:val="center"/>
              <w:rPr>
                <w:rFonts w:hint="eastAsia" w:ascii="宋体" w:hAnsi="宋体" w:eastAsia="宋体" w:cs="宋体"/>
                <w:kern w:val="0"/>
                <w:sz w:val="21"/>
                <w:szCs w:val="21"/>
              </w:rPr>
            </w:pPr>
            <w:r>
              <w:rPr>
                <w:rFonts w:hint="eastAsia" w:ascii="宋体" w:hAnsi="宋体" w:eastAsia="宋体" w:cs="宋体"/>
                <w:kern w:val="0"/>
                <w:sz w:val="21"/>
                <w:szCs w:val="21"/>
              </w:rPr>
              <w:t>具体技术要求</w:t>
            </w:r>
          </w:p>
        </w:tc>
        <w:tc>
          <w:tcPr>
            <w:tcW w:w="9387" w:type="dxa"/>
            <w:gridSpan w:val="4"/>
          </w:tcPr>
          <w:tbl>
            <w:tblPr>
              <w:tblStyle w:val="43"/>
              <w:tblpPr w:leftFromText="180" w:rightFromText="180" w:vertAnchor="text" w:horzAnchor="page" w:tblpX="318" w:tblpY="14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272"/>
              <w:gridCol w:w="815"/>
              <w:gridCol w:w="1280"/>
              <w:gridCol w:w="3614"/>
            </w:tblGrid>
            <w:tr w14:paraId="67F3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8" w:type="dxa"/>
                  <w:noWrap w:val="0"/>
                  <w:vAlign w:val="center"/>
                </w:tcPr>
                <w:p w14:paraId="7BDC6DE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272" w:type="dxa"/>
                  <w:noWrap w:val="0"/>
                  <w:vAlign w:val="center"/>
                </w:tcPr>
                <w:p w14:paraId="6E21053A">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项目名称</w:t>
                  </w:r>
                </w:p>
              </w:tc>
              <w:tc>
                <w:tcPr>
                  <w:tcW w:w="815" w:type="dxa"/>
                  <w:noWrap w:val="0"/>
                  <w:vAlign w:val="center"/>
                </w:tcPr>
                <w:p w14:paraId="45D0D678">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单位</w:t>
                  </w:r>
                </w:p>
              </w:tc>
              <w:tc>
                <w:tcPr>
                  <w:tcW w:w="1280" w:type="dxa"/>
                  <w:noWrap w:val="0"/>
                  <w:vAlign w:val="center"/>
                </w:tcPr>
                <w:p w14:paraId="21AEB76A">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工程数量</w:t>
                  </w:r>
                </w:p>
              </w:tc>
              <w:tc>
                <w:tcPr>
                  <w:tcW w:w="3614" w:type="dxa"/>
                  <w:noWrap w:val="0"/>
                  <w:vAlign w:val="center"/>
                </w:tcPr>
                <w:p w14:paraId="6F042785">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备注</w:t>
                  </w:r>
                </w:p>
              </w:tc>
            </w:tr>
            <w:tr w14:paraId="4CDC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18" w:type="dxa"/>
                  <w:noWrap w:val="0"/>
                  <w:vAlign w:val="center"/>
                </w:tcPr>
                <w:p w14:paraId="5FE4BCDE">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w:t>
                  </w:r>
                </w:p>
              </w:tc>
              <w:tc>
                <w:tcPr>
                  <w:tcW w:w="2272" w:type="dxa"/>
                  <w:noWrap w:val="0"/>
                  <w:vAlign w:val="center"/>
                </w:tcPr>
                <w:p w14:paraId="1806F86C">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更换UF-61滤芯</w:t>
                  </w:r>
                </w:p>
              </w:tc>
              <w:tc>
                <w:tcPr>
                  <w:tcW w:w="815" w:type="dxa"/>
                  <w:noWrap w:val="0"/>
                  <w:vAlign w:val="center"/>
                </w:tcPr>
                <w:p w14:paraId="5314B3AC">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支</w:t>
                  </w:r>
                </w:p>
              </w:tc>
              <w:tc>
                <w:tcPr>
                  <w:tcW w:w="1280" w:type="dxa"/>
                  <w:noWrap w:val="0"/>
                  <w:vAlign w:val="center"/>
                </w:tcPr>
                <w:p w14:paraId="573062A6">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12</w:t>
                  </w:r>
                </w:p>
              </w:tc>
              <w:tc>
                <w:tcPr>
                  <w:tcW w:w="3614" w:type="dxa"/>
                  <w:noWrap w:val="0"/>
                  <w:vAlign w:val="center"/>
                </w:tcPr>
                <w:p w14:paraId="45235248">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第一道滤芯,1个月更换一次</w:t>
                  </w:r>
                </w:p>
              </w:tc>
            </w:tr>
            <w:tr w14:paraId="1FDD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18" w:type="dxa"/>
                  <w:noWrap w:val="0"/>
                  <w:vAlign w:val="center"/>
                </w:tcPr>
                <w:p w14:paraId="3A8196ED">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p>
              </w:tc>
              <w:tc>
                <w:tcPr>
                  <w:tcW w:w="2272" w:type="dxa"/>
                  <w:noWrap w:val="0"/>
                  <w:vAlign w:val="center"/>
                </w:tcPr>
                <w:p w14:paraId="6DD1DEC9">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更换UF-62滤芯</w:t>
                  </w:r>
                </w:p>
              </w:tc>
              <w:tc>
                <w:tcPr>
                  <w:tcW w:w="815" w:type="dxa"/>
                  <w:noWrap w:val="0"/>
                  <w:vAlign w:val="center"/>
                </w:tcPr>
                <w:p w14:paraId="671707CD">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支</w:t>
                  </w:r>
                </w:p>
              </w:tc>
              <w:tc>
                <w:tcPr>
                  <w:tcW w:w="1280" w:type="dxa"/>
                  <w:noWrap w:val="0"/>
                  <w:vAlign w:val="center"/>
                </w:tcPr>
                <w:p w14:paraId="7E487A17">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6</w:t>
                  </w:r>
                </w:p>
              </w:tc>
              <w:tc>
                <w:tcPr>
                  <w:tcW w:w="3614" w:type="dxa"/>
                  <w:noWrap w:val="0"/>
                  <w:vAlign w:val="center"/>
                </w:tcPr>
                <w:p w14:paraId="7B744CB6">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第二道滤芯,2个月更换一次</w:t>
                  </w:r>
                </w:p>
              </w:tc>
            </w:tr>
            <w:tr w14:paraId="2AB5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8" w:type="dxa"/>
                  <w:noWrap w:val="0"/>
                  <w:vAlign w:val="center"/>
                </w:tcPr>
                <w:p w14:paraId="307CD57C">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3</w:t>
                  </w:r>
                </w:p>
              </w:tc>
              <w:tc>
                <w:tcPr>
                  <w:tcW w:w="2272" w:type="dxa"/>
                  <w:noWrap w:val="0"/>
                  <w:vAlign w:val="center"/>
                </w:tcPr>
                <w:p w14:paraId="3F3BE5C2">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更换UF-63滤芯</w:t>
                  </w:r>
                </w:p>
              </w:tc>
              <w:tc>
                <w:tcPr>
                  <w:tcW w:w="815" w:type="dxa"/>
                  <w:noWrap w:val="0"/>
                  <w:vAlign w:val="center"/>
                </w:tcPr>
                <w:p w14:paraId="2892E197">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支</w:t>
                  </w:r>
                </w:p>
              </w:tc>
              <w:tc>
                <w:tcPr>
                  <w:tcW w:w="1280" w:type="dxa"/>
                  <w:noWrap w:val="0"/>
                  <w:vAlign w:val="center"/>
                </w:tcPr>
                <w:p w14:paraId="0143B8AE">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4</w:t>
                  </w:r>
                </w:p>
              </w:tc>
              <w:tc>
                <w:tcPr>
                  <w:tcW w:w="3614" w:type="dxa"/>
                  <w:noWrap w:val="0"/>
                  <w:vAlign w:val="center"/>
                </w:tcPr>
                <w:p w14:paraId="2C408BAF">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第三道滤芯,3个月更换一次</w:t>
                  </w:r>
                </w:p>
              </w:tc>
            </w:tr>
            <w:tr w14:paraId="49EB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18" w:type="dxa"/>
                  <w:noWrap w:val="0"/>
                  <w:vAlign w:val="center"/>
                </w:tcPr>
                <w:p w14:paraId="59A945B7">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4</w:t>
                  </w:r>
                </w:p>
              </w:tc>
              <w:tc>
                <w:tcPr>
                  <w:tcW w:w="2272" w:type="dxa"/>
                  <w:noWrap w:val="0"/>
                  <w:vAlign w:val="center"/>
                </w:tcPr>
                <w:p w14:paraId="7627ABFD">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更换UF-53反渗透膜</w:t>
                  </w:r>
                </w:p>
              </w:tc>
              <w:tc>
                <w:tcPr>
                  <w:tcW w:w="815" w:type="dxa"/>
                  <w:noWrap w:val="0"/>
                  <w:vAlign w:val="center"/>
                </w:tcPr>
                <w:p w14:paraId="62529EB5">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支</w:t>
                  </w:r>
                </w:p>
              </w:tc>
              <w:tc>
                <w:tcPr>
                  <w:tcW w:w="1280" w:type="dxa"/>
                  <w:noWrap w:val="0"/>
                  <w:vAlign w:val="center"/>
                </w:tcPr>
                <w:p w14:paraId="03A8B1BF">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p>
              </w:tc>
              <w:tc>
                <w:tcPr>
                  <w:tcW w:w="3614" w:type="dxa"/>
                  <w:noWrap w:val="0"/>
                  <w:vAlign w:val="center"/>
                </w:tcPr>
                <w:p w14:paraId="009F1295">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第四道滤芯,12个月更换一次</w:t>
                  </w:r>
                </w:p>
              </w:tc>
            </w:tr>
            <w:tr w14:paraId="210C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18" w:type="dxa"/>
                  <w:noWrap w:val="0"/>
                  <w:vAlign w:val="center"/>
                </w:tcPr>
                <w:p w14:paraId="37EDC52A">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5</w:t>
                  </w:r>
                </w:p>
              </w:tc>
              <w:tc>
                <w:tcPr>
                  <w:tcW w:w="2272" w:type="dxa"/>
                  <w:noWrap w:val="0"/>
                  <w:vAlign w:val="center"/>
                </w:tcPr>
                <w:p w14:paraId="50688DFE">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更换UF-21滤芯</w:t>
                  </w:r>
                </w:p>
              </w:tc>
              <w:tc>
                <w:tcPr>
                  <w:tcW w:w="815" w:type="dxa"/>
                  <w:noWrap w:val="0"/>
                  <w:vAlign w:val="center"/>
                </w:tcPr>
                <w:p w14:paraId="6D9EF3F8">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支</w:t>
                  </w:r>
                </w:p>
              </w:tc>
              <w:tc>
                <w:tcPr>
                  <w:tcW w:w="1280" w:type="dxa"/>
                  <w:noWrap w:val="0"/>
                  <w:vAlign w:val="center"/>
                </w:tcPr>
                <w:p w14:paraId="375B5CAB">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p>
              </w:tc>
              <w:tc>
                <w:tcPr>
                  <w:tcW w:w="3614" w:type="dxa"/>
                  <w:noWrap w:val="0"/>
                  <w:vAlign w:val="center"/>
                </w:tcPr>
                <w:p w14:paraId="3AD10808">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第五道滤芯,6个月更换一次</w:t>
                  </w:r>
                </w:p>
              </w:tc>
            </w:tr>
            <w:tr w14:paraId="0D9C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18" w:type="dxa"/>
                  <w:noWrap w:val="0"/>
                  <w:vAlign w:val="center"/>
                </w:tcPr>
                <w:p w14:paraId="67024B4C">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6</w:t>
                  </w:r>
                </w:p>
              </w:tc>
              <w:tc>
                <w:tcPr>
                  <w:tcW w:w="2272" w:type="dxa"/>
                  <w:noWrap w:val="0"/>
                  <w:vAlign w:val="center"/>
                </w:tcPr>
                <w:p w14:paraId="0926F435">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饮水机清缸消毒</w:t>
                  </w:r>
                </w:p>
              </w:tc>
              <w:tc>
                <w:tcPr>
                  <w:tcW w:w="815" w:type="dxa"/>
                  <w:noWrap w:val="0"/>
                  <w:vAlign w:val="center"/>
                </w:tcPr>
                <w:p w14:paraId="41472281">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台</w:t>
                  </w:r>
                </w:p>
              </w:tc>
              <w:tc>
                <w:tcPr>
                  <w:tcW w:w="1280" w:type="dxa"/>
                  <w:noWrap w:val="0"/>
                  <w:vAlign w:val="center"/>
                </w:tcPr>
                <w:p w14:paraId="3DE0982E">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w:t>
                  </w:r>
                </w:p>
              </w:tc>
              <w:tc>
                <w:tcPr>
                  <w:tcW w:w="3614" w:type="dxa"/>
                  <w:noWrap w:val="0"/>
                  <w:vAlign w:val="center"/>
                </w:tcPr>
                <w:p w14:paraId="52FA99A6">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12个月清洗一次</w:t>
                  </w:r>
                </w:p>
              </w:tc>
            </w:tr>
            <w:tr w14:paraId="3EB0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818" w:type="dxa"/>
                  <w:noWrap w:val="0"/>
                  <w:vAlign w:val="center"/>
                </w:tcPr>
                <w:p w14:paraId="366F494D">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7</w:t>
                  </w:r>
                </w:p>
              </w:tc>
              <w:tc>
                <w:tcPr>
                  <w:tcW w:w="2272" w:type="dxa"/>
                  <w:noWrap w:val="0"/>
                  <w:vAlign w:val="center"/>
                </w:tcPr>
                <w:p w14:paraId="1CC2D492">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水质检测费</w:t>
                  </w:r>
                </w:p>
              </w:tc>
              <w:tc>
                <w:tcPr>
                  <w:tcW w:w="815" w:type="dxa"/>
                  <w:noWrap w:val="0"/>
                  <w:vAlign w:val="center"/>
                </w:tcPr>
                <w:p w14:paraId="3DE27944">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份</w:t>
                  </w:r>
                </w:p>
              </w:tc>
              <w:tc>
                <w:tcPr>
                  <w:tcW w:w="1280" w:type="dxa"/>
                  <w:noWrap w:val="0"/>
                  <w:vAlign w:val="center"/>
                </w:tcPr>
                <w:p w14:paraId="07A10E3A">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w:t>
                  </w:r>
                </w:p>
              </w:tc>
              <w:tc>
                <w:tcPr>
                  <w:tcW w:w="3614" w:type="dxa"/>
                  <w:noWrap w:val="0"/>
                  <w:vAlign w:val="center"/>
                </w:tcPr>
                <w:p w14:paraId="6D05B6F0">
                  <w:pPr>
                    <w:spacing w:line="240" w:lineRule="auto"/>
                    <w:jc w:val="center"/>
                    <w:rPr>
                      <w:rFonts w:hint="default" w:ascii="宋体" w:hAnsi="宋体" w:eastAsia="宋体" w:cs="宋体"/>
                      <w:sz w:val="21"/>
                      <w:szCs w:val="21"/>
                      <w:lang w:val="en-US" w:eastAsia="zh-CN"/>
                    </w:rPr>
                  </w:pPr>
                  <w:r>
                    <w:rPr>
                      <w:rFonts w:hint="eastAsia" w:ascii="宋体" w:hAnsi="宋体" w:eastAsia="宋体" w:cs="宋体"/>
                      <w:color w:val="000000"/>
                      <w:kern w:val="0"/>
                      <w:sz w:val="21"/>
                      <w:szCs w:val="21"/>
                      <w:lang w:bidi="ar"/>
                    </w:rPr>
                    <w:t>水质检测的项目包括：细菌总数、总大肠菌群、粪大肠菌群、色度、浑浊度、臭和味、肉眼可见物</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并出具相关检测报告。</w:t>
                  </w:r>
                </w:p>
              </w:tc>
            </w:tr>
          </w:tbl>
          <w:p w14:paraId="2A95D57E">
            <w:pPr>
              <w:pStyle w:val="10"/>
              <w:numPr>
                <w:ilvl w:val="0"/>
                <w:numId w:val="0"/>
              </w:numPr>
              <w:spacing w:before="78" w:beforeLines="25" w:after="78"/>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产品定期维护</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为图书馆</w:t>
            </w:r>
            <w:r>
              <w:rPr>
                <w:rFonts w:hint="eastAsia" w:ascii="宋体" w:hAnsi="宋体" w:eastAsia="宋体" w:cs="宋体"/>
                <w:color w:val="000000" w:themeColor="text1"/>
                <w:kern w:val="0"/>
                <w:sz w:val="21"/>
                <w:szCs w:val="21"/>
                <w14:textFill>
                  <w14:solidFill>
                    <w14:schemeClr w14:val="tx1"/>
                  </w14:solidFill>
                </w14:textFill>
              </w:rPr>
              <w:t>定期更换</w:t>
            </w:r>
            <w:r>
              <w:rPr>
                <w:rFonts w:hint="eastAsia" w:ascii="宋体" w:hAnsi="宋体" w:eastAsia="宋体" w:cs="宋体"/>
                <w:color w:val="000000" w:themeColor="text1"/>
                <w:kern w:val="0"/>
                <w:sz w:val="21"/>
                <w:szCs w:val="21"/>
                <w:lang w:val="en-US" w:eastAsia="zh-CN"/>
                <w14:textFill>
                  <w14:solidFill>
                    <w14:schemeClr w14:val="tx1"/>
                  </w14:solidFill>
                </w14:textFill>
              </w:rPr>
              <w:t>饮水机设备</w:t>
            </w:r>
            <w:r>
              <w:rPr>
                <w:rFonts w:hint="eastAsia" w:ascii="宋体" w:hAnsi="宋体" w:eastAsia="宋体" w:cs="宋体"/>
                <w:color w:val="000000" w:themeColor="text1"/>
                <w:kern w:val="0"/>
                <w:sz w:val="21"/>
                <w:szCs w:val="21"/>
                <w14:textFill>
                  <w14:solidFill>
                    <w14:schemeClr w14:val="tx1"/>
                  </w14:solidFill>
                </w14:textFill>
              </w:rPr>
              <w:t>滤芯、耗材等</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更换滤芯、耗材、消毒、水质检测费等由服务商承担。</w:t>
            </w:r>
            <w:r>
              <w:rPr>
                <w:rFonts w:hint="eastAsia" w:ascii="宋体" w:hAnsi="宋体" w:eastAsia="宋体" w:cs="宋体"/>
                <w:color w:val="000000" w:themeColor="text1"/>
                <w:kern w:val="0"/>
                <w:sz w:val="21"/>
                <w:szCs w:val="21"/>
                <w14:textFill>
                  <w14:solidFill>
                    <w14:schemeClr w14:val="tx1"/>
                  </w14:solidFill>
                </w14:textFill>
              </w:rPr>
              <w:t>以下为每台饮水机每年维护保养标准。</w:t>
            </w:r>
            <w:r>
              <w:rPr>
                <w:rFonts w:hint="eastAsia" w:ascii="宋体" w:hAnsi="宋体" w:eastAsia="宋体" w:cs="宋体"/>
                <w:color w:val="000000" w:themeColor="text1"/>
                <w:kern w:val="0"/>
                <w:sz w:val="21"/>
                <w:szCs w:val="21"/>
                <w:lang w:val="en-US" w:eastAsia="zh-CN"/>
                <w14:textFill>
                  <w14:solidFill>
                    <w14:schemeClr w14:val="tx1"/>
                  </w14:solidFill>
                </w14:textFill>
              </w:rPr>
              <w:t>服务商</w:t>
            </w:r>
            <w:r>
              <w:rPr>
                <w:rFonts w:hint="eastAsia" w:ascii="宋体" w:hAnsi="宋体" w:eastAsia="宋体" w:cs="宋体"/>
                <w:color w:val="000000" w:themeColor="text1"/>
                <w:kern w:val="0"/>
                <w:sz w:val="21"/>
                <w:szCs w:val="21"/>
                <w14:textFill>
                  <w14:solidFill>
                    <w14:schemeClr w14:val="tx1"/>
                  </w14:solidFill>
                </w14:textFill>
              </w:rPr>
              <w:t>上门服务所涉及交通等费用，由</w:t>
            </w:r>
            <w:r>
              <w:rPr>
                <w:rFonts w:hint="eastAsia" w:ascii="宋体" w:hAnsi="宋体" w:eastAsia="宋体" w:cs="宋体"/>
                <w:color w:val="000000" w:themeColor="text1"/>
                <w:kern w:val="0"/>
                <w:sz w:val="21"/>
                <w:szCs w:val="21"/>
                <w:lang w:val="en-US" w:eastAsia="zh-CN"/>
                <w14:textFill>
                  <w14:solidFill>
                    <w14:schemeClr w14:val="tx1"/>
                  </w14:solidFill>
                </w14:textFill>
              </w:rPr>
              <w:t>服务商</w:t>
            </w:r>
            <w:r>
              <w:rPr>
                <w:rFonts w:hint="eastAsia" w:ascii="宋体" w:hAnsi="宋体" w:eastAsia="宋体" w:cs="宋体"/>
                <w:color w:val="000000" w:themeColor="text1"/>
                <w:kern w:val="0"/>
                <w:sz w:val="21"/>
                <w:szCs w:val="21"/>
                <w14:textFill>
                  <w14:solidFill>
                    <w14:schemeClr w14:val="tx1"/>
                  </w14:solidFill>
                </w14:textFill>
              </w:rPr>
              <w:t>自</w:t>
            </w:r>
            <w:r>
              <w:rPr>
                <w:rFonts w:hint="eastAsia" w:ascii="宋体" w:hAnsi="宋体" w:eastAsia="宋体" w:cs="宋体"/>
                <w:color w:val="000000" w:themeColor="text1"/>
                <w:kern w:val="0"/>
                <w:sz w:val="21"/>
                <w:szCs w:val="21"/>
                <w:lang w:val="en-US" w:eastAsia="zh-CN"/>
                <w14:textFill>
                  <w14:solidFill>
                    <w14:schemeClr w14:val="tx1"/>
                  </w14:solidFill>
                </w14:textFill>
              </w:rPr>
              <w:t>行承担。</w:t>
            </w:r>
          </w:p>
          <w:p w14:paraId="4D5F7AE6">
            <w:pPr>
              <w:pStyle w:val="10"/>
              <w:numPr>
                <w:ilvl w:val="0"/>
                <w:numId w:val="0"/>
              </w:numPr>
              <w:spacing w:before="78" w:beforeLines="25" w:after="78"/>
              <w:rPr>
                <w:rFonts w:hint="eastAsia" w:ascii="宋体" w:hAnsi="宋体" w:eastAsia="宋体" w:cs="宋体"/>
                <w:color w:val="000000" w:themeColor="text1"/>
                <w:kern w:val="0"/>
                <w:sz w:val="21"/>
                <w:szCs w:val="21"/>
                <w:lang w:val="en-US" w:eastAsia="zh-CN"/>
                <w14:textFill>
                  <w14:solidFill>
                    <w14:schemeClr w14:val="tx1"/>
                  </w14:solidFill>
                </w14:textFill>
              </w:rPr>
            </w:pPr>
          </w:p>
          <w:p w14:paraId="7350C786">
            <w:pPr>
              <w:pStyle w:val="10"/>
              <w:numPr>
                <w:ilvl w:val="0"/>
                <w:numId w:val="0"/>
              </w:numPr>
              <w:spacing w:before="78" w:beforeLines="25" w:after="78"/>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lang w:val="en-US" w:eastAsia="zh-CN"/>
                <w14:textFill>
                  <w14:solidFill>
                    <w14:schemeClr w14:val="tx1"/>
                  </w14:solidFill>
                </w14:textFill>
              </w:rPr>
              <w:t>2、产品响应时间和维修</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在服务期内，服务商对</w:t>
            </w:r>
            <w:r>
              <w:rPr>
                <w:rFonts w:hint="eastAsia" w:ascii="宋体" w:hAnsi="宋体" w:cs="宋体"/>
                <w:color w:val="000000" w:themeColor="text1"/>
                <w:kern w:val="0"/>
                <w:sz w:val="21"/>
                <w:szCs w:val="21"/>
                <w:lang w:val="en-US" w:eastAsia="zh-CN"/>
                <w14:textFill>
                  <w14:solidFill>
                    <w14:schemeClr w14:val="tx1"/>
                  </w14:solidFill>
                </w14:textFill>
              </w:rPr>
              <w:t>图书馆</w:t>
            </w:r>
            <w:r>
              <w:rPr>
                <w:rFonts w:hint="eastAsia" w:ascii="宋体" w:hAnsi="宋体" w:eastAsia="宋体" w:cs="宋体"/>
                <w:color w:val="000000" w:themeColor="text1"/>
                <w:kern w:val="0"/>
                <w:sz w:val="21"/>
                <w:szCs w:val="21"/>
                <w:lang w:val="en-US" w:eastAsia="zh-CN"/>
                <w14:textFill>
                  <w14:solidFill>
                    <w14:schemeClr w14:val="tx1"/>
                  </w14:solidFill>
                </w14:textFill>
              </w:rPr>
              <w:t>提供规定工作时间周一至周五8：30-17：30（法定节假日除外）保养服务。服务包括上门维护、现场响应服务和零部件保修更换，并向</w:t>
            </w:r>
            <w:r>
              <w:rPr>
                <w:rFonts w:hint="eastAsia" w:ascii="宋体" w:hAnsi="宋体" w:cs="宋体"/>
                <w:color w:val="000000" w:themeColor="text1"/>
                <w:kern w:val="0"/>
                <w:sz w:val="21"/>
                <w:szCs w:val="21"/>
                <w:lang w:val="en-US" w:eastAsia="zh-CN"/>
                <w14:textFill>
                  <w14:solidFill>
                    <w14:schemeClr w14:val="tx1"/>
                  </w14:solidFill>
                </w14:textFill>
              </w:rPr>
              <w:t>图书馆</w:t>
            </w:r>
            <w:r>
              <w:rPr>
                <w:rFonts w:hint="eastAsia" w:ascii="宋体" w:hAnsi="宋体" w:eastAsia="宋体" w:cs="宋体"/>
                <w:color w:val="000000" w:themeColor="text1"/>
                <w:kern w:val="0"/>
                <w:sz w:val="21"/>
                <w:szCs w:val="21"/>
                <w:lang w:val="en-US" w:eastAsia="zh-CN"/>
                <w14:textFill>
                  <w14:solidFill>
                    <w14:schemeClr w14:val="tx1"/>
                  </w14:solidFill>
                </w14:textFill>
              </w:rPr>
              <w:t>递交详细的维修报告。如</w:t>
            </w:r>
            <w:r>
              <w:rPr>
                <w:rFonts w:hint="eastAsia" w:ascii="宋体" w:hAnsi="宋体" w:cs="宋体"/>
                <w:color w:val="000000" w:themeColor="text1"/>
                <w:kern w:val="0"/>
                <w:sz w:val="21"/>
                <w:szCs w:val="21"/>
                <w:lang w:val="en-US" w:eastAsia="zh-CN"/>
                <w14:textFill>
                  <w14:solidFill>
                    <w14:schemeClr w14:val="tx1"/>
                  </w14:solidFill>
                </w14:textFill>
              </w:rPr>
              <w:t>图书馆</w:t>
            </w:r>
            <w:r>
              <w:rPr>
                <w:rFonts w:hint="eastAsia" w:ascii="宋体" w:hAnsi="宋体" w:eastAsia="宋体" w:cs="宋体"/>
                <w:color w:val="000000" w:themeColor="text1"/>
                <w:kern w:val="0"/>
                <w:sz w:val="21"/>
                <w:szCs w:val="21"/>
                <w:lang w:val="en-US" w:eastAsia="zh-CN"/>
                <w14:textFill>
                  <w14:solidFill>
                    <w14:schemeClr w14:val="tx1"/>
                  </w14:solidFill>
                </w14:textFill>
              </w:rPr>
              <w:t>发现有机器故障时，服务商应在4小时内响应，8小时内上门，48小时内未解决故障的应提供备机。在维保过程中，需及时和</w:t>
            </w:r>
            <w:r>
              <w:rPr>
                <w:rFonts w:hint="eastAsia" w:ascii="宋体" w:hAnsi="宋体" w:cs="宋体"/>
                <w:color w:val="000000" w:themeColor="text1"/>
                <w:kern w:val="0"/>
                <w:sz w:val="21"/>
                <w:szCs w:val="21"/>
                <w:lang w:val="en-US" w:eastAsia="zh-CN"/>
                <w14:textFill>
                  <w14:solidFill>
                    <w14:schemeClr w14:val="tx1"/>
                  </w14:solidFill>
                </w14:textFill>
              </w:rPr>
              <w:t>图书馆</w:t>
            </w:r>
            <w:r>
              <w:rPr>
                <w:rFonts w:hint="eastAsia" w:ascii="宋体" w:hAnsi="宋体" w:eastAsia="宋体" w:cs="宋体"/>
                <w:color w:val="000000" w:themeColor="text1"/>
                <w:kern w:val="0"/>
                <w:sz w:val="21"/>
                <w:szCs w:val="21"/>
                <w:lang w:val="en-US" w:eastAsia="zh-CN"/>
                <w14:textFill>
                  <w14:solidFill>
                    <w14:schemeClr w14:val="tx1"/>
                  </w14:solidFill>
                </w14:textFill>
              </w:rPr>
              <w:t>沟通。如需更换饮水机损坏零部件，所需费用应与</w:t>
            </w:r>
            <w:r>
              <w:rPr>
                <w:rFonts w:hint="eastAsia" w:ascii="宋体" w:hAnsi="宋体" w:cs="宋体"/>
                <w:color w:val="000000" w:themeColor="text1"/>
                <w:kern w:val="0"/>
                <w:sz w:val="21"/>
                <w:szCs w:val="21"/>
                <w:lang w:val="en-US" w:eastAsia="zh-CN"/>
                <w14:textFill>
                  <w14:solidFill>
                    <w14:schemeClr w14:val="tx1"/>
                  </w14:solidFill>
                </w14:textFill>
              </w:rPr>
              <w:t>图书馆</w:t>
            </w:r>
            <w:r>
              <w:rPr>
                <w:rFonts w:hint="eastAsia" w:ascii="宋体" w:hAnsi="宋体" w:eastAsia="宋体" w:cs="宋体"/>
                <w:color w:val="000000" w:themeColor="text1"/>
                <w:kern w:val="0"/>
                <w:sz w:val="21"/>
                <w:szCs w:val="21"/>
                <w:lang w:val="en-US" w:eastAsia="zh-CN"/>
                <w14:textFill>
                  <w14:solidFill>
                    <w14:schemeClr w14:val="tx1"/>
                  </w14:solidFill>
                </w14:textFill>
              </w:rPr>
              <w:t>申报协商。所使用的设备、配件、耗材必需符合国家标准，且取得合格证书产品</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cs="宋体"/>
                <w:color w:val="auto"/>
                <w:kern w:val="0"/>
                <w:sz w:val="21"/>
                <w:szCs w:val="21"/>
                <w:lang w:val="en-US" w:eastAsia="zh-CN"/>
              </w:rPr>
              <w:t>保证</w:t>
            </w:r>
            <w:r>
              <w:rPr>
                <w:rFonts w:hint="eastAsia" w:ascii="宋体" w:hAnsi="宋体" w:eastAsia="宋体" w:cs="宋体"/>
                <w:color w:val="auto"/>
                <w:sz w:val="21"/>
                <w:szCs w:val="21"/>
              </w:rPr>
              <w:t>原装正品</w:t>
            </w:r>
            <w:r>
              <w:rPr>
                <w:rFonts w:hint="eastAsia" w:ascii="宋体" w:hAnsi="宋体" w:cs="宋体"/>
                <w:color w:val="auto"/>
                <w:sz w:val="21"/>
                <w:szCs w:val="21"/>
                <w:lang w:eastAsia="zh-CN"/>
              </w:rPr>
              <w:t>。</w:t>
            </w:r>
          </w:p>
        </w:tc>
      </w:tr>
      <w:tr w14:paraId="630B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451" w:type="dxa"/>
          </w:tcPr>
          <w:p w14:paraId="54B4570F">
            <w:pPr>
              <w:jc w:val="center"/>
              <w:rPr>
                <w:rFonts w:hint="eastAsia" w:ascii="宋体" w:hAnsi="宋体" w:cs="宋体"/>
                <w:kern w:val="0"/>
                <w:szCs w:val="21"/>
              </w:rPr>
            </w:pPr>
          </w:p>
          <w:p w14:paraId="0F58BB2E">
            <w:pPr>
              <w:jc w:val="center"/>
              <w:rPr>
                <w:rFonts w:hint="eastAsia" w:ascii="宋体" w:hAnsi="宋体" w:cs="宋体"/>
                <w:kern w:val="0"/>
                <w:szCs w:val="21"/>
              </w:rPr>
            </w:pPr>
          </w:p>
          <w:p w14:paraId="00FBDA20">
            <w:pPr>
              <w:jc w:val="center"/>
              <w:rPr>
                <w:rFonts w:hint="eastAsia" w:ascii="宋体" w:hAnsi="宋体" w:cs="宋体"/>
                <w:kern w:val="0"/>
                <w:szCs w:val="21"/>
              </w:rPr>
            </w:pPr>
          </w:p>
          <w:p w14:paraId="7DBDDDFE">
            <w:pPr>
              <w:jc w:val="center"/>
              <w:rPr>
                <w:rFonts w:hint="eastAsia" w:ascii="宋体" w:hAnsi="宋体" w:cs="宋体"/>
                <w:kern w:val="0"/>
                <w:szCs w:val="21"/>
              </w:rPr>
            </w:pPr>
          </w:p>
          <w:p w14:paraId="65326D2B">
            <w:pPr>
              <w:jc w:val="center"/>
              <w:rPr>
                <w:rFonts w:hint="eastAsia" w:ascii="宋体" w:hAnsi="宋体" w:cs="宋体"/>
                <w:kern w:val="0"/>
                <w:szCs w:val="21"/>
              </w:rPr>
            </w:pPr>
          </w:p>
          <w:p w14:paraId="619C3D85">
            <w:pPr>
              <w:jc w:val="center"/>
              <w:rPr>
                <w:rFonts w:hint="eastAsia" w:ascii="宋体" w:hAnsi="宋体" w:cs="宋体"/>
                <w:kern w:val="0"/>
                <w:szCs w:val="21"/>
              </w:rPr>
            </w:pPr>
            <w:r>
              <w:rPr>
                <w:rFonts w:hint="eastAsia" w:ascii="宋体" w:hAnsi="宋体" w:cs="宋体"/>
                <w:kern w:val="0"/>
                <w:szCs w:val="21"/>
              </w:rPr>
              <w:t>商务需求</w:t>
            </w:r>
          </w:p>
        </w:tc>
        <w:tc>
          <w:tcPr>
            <w:tcW w:w="9387" w:type="dxa"/>
            <w:gridSpan w:val="4"/>
          </w:tcPr>
          <w:p w14:paraId="534A4F46">
            <w:pPr>
              <w:numPr>
                <w:ilvl w:val="0"/>
                <w:numId w:val="0"/>
              </w:numPr>
              <w:spacing w:line="276" w:lineRule="auto"/>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lang w:val="en-US" w:eastAsia="zh-CN"/>
              </w:rPr>
              <w:t>1、</w:t>
            </w:r>
            <w:r>
              <w:rPr>
                <w:rFonts w:hint="eastAsia" w:ascii="宋体" w:hAnsi="宋体" w:eastAsia="宋体" w:cs="宋体"/>
                <w:b/>
                <w:szCs w:val="21"/>
                <w:highlight w:val="none"/>
              </w:rPr>
              <w:t>服务期限：</w:t>
            </w:r>
            <w:r>
              <w:rPr>
                <w:rFonts w:hint="eastAsia" w:ascii="宋体" w:hAnsi="宋体" w:eastAsia="宋体" w:cs="宋体"/>
                <w:bCs/>
                <w:szCs w:val="21"/>
                <w:highlight w:val="none"/>
              </w:rPr>
              <w:t>自合同签订之日起</w:t>
            </w:r>
            <w:r>
              <w:rPr>
                <w:rFonts w:hint="eastAsia" w:ascii="宋体" w:hAnsi="宋体" w:eastAsia="宋体" w:cs="宋体"/>
                <w:szCs w:val="21"/>
                <w:highlight w:val="none"/>
              </w:rPr>
              <w:t>，服务期为一年。本项目为长期服务类项目，合同期满</w:t>
            </w:r>
            <w:r>
              <w:rPr>
                <w:rFonts w:hint="eastAsia" w:ascii="宋体" w:hAnsi="宋体" w:eastAsia="宋体" w:cs="宋体"/>
                <w:szCs w:val="21"/>
                <w:highlight w:val="none"/>
                <w:lang w:val="en-US" w:eastAsia="zh-CN"/>
              </w:rPr>
              <w:t>前30个工作日可</w:t>
            </w:r>
            <w:r>
              <w:rPr>
                <w:rFonts w:hint="eastAsia" w:ascii="宋体" w:hAnsi="宋体" w:eastAsia="宋体" w:cs="宋体"/>
                <w:szCs w:val="21"/>
                <w:highlight w:val="none"/>
              </w:rPr>
              <w:t>根据服务单位履约情况（履约评价良好及以上的），可考虑续签合同，合同一年一签，最长不超过三年。如</w:t>
            </w:r>
            <w:r>
              <w:rPr>
                <w:rFonts w:hint="eastAsia" w:ascii="宋体" w:hAnsi="宋体" w:eastAsia="宋体" w:cs="宋体"/>
                <w:szCs w:val="21"/>
                <w:highlight w:val="none"/>
                <w:lang w:val="en-US" w:eastAsia="zh-CN"/>
              </w:rPr>
              <w:t>图书馆</w:t>
            </w:r>
            <w:r>
              <w:rPr>
                <w:rFonts w:hint="eastAsia" w:ascii="宋体" w:hAnsi="宋体" w:eastAsia="宋体" w:cs="宋体"/>
                <w:szCs w:val="21"/>
                <w:highlight w:val="none"/>
              </w:rPr>
              <w:t>对履约情况不满意，</w:t>
            </w:r>
            <w:r>
              <w:rPr>
                <w:rFonts w:hint="eastAsia" w:ascii="宋体" w:hAnsi="宋体" w:eastAsia="宋体" w:cs="宋体"/>
                <w:szCs w:val="21"/>
                <w:highlight w:val="none"/>
                <w:lang w:val="en-US" w:eastAsia="zh-CN"/>
              </w:rPr>
              <w:t>图书馆</w:t>
            </w:r>
            <w:r>
              <w:rPr>
                <w:rFonts w:hint="eastAsia" w:ascii="宋体" w:hAnsi="宋体" w:eastAsia="宋体" w:cs="宋体"/>
                <w:szCs w:val="21"/>
                <w:highlight w:val="none"/>
              </w:rPr>
              <w:t>不再续约。</w:t>
            </w:r>
          </w:p>
          <w:p w14:paraId="00C8BC17">
            <w:pPr>
              <w:spacing w:line="276" w:lineRule="auto"/>
              <w:ind w:firstLine="371" w:firstLineChars="177"/>
              <w:rPr>
                <w:rFonts w:hint="eastAsia" w:ascii="宋体" w:hAnsi="宋体" w:eastAsia="宋体" w:cs="宋体"/>
                <w:b w:val="0"/>
                <w:bCs w:val="0"/>
                <w:szCs w:val="21"/>
                <w:lang w:val="en-US" w:eastAsia="zh-CN"/>
              </w:rPr>
            </w:pPr>
            <w:r>
              <w:rPr>
                <w:rFonts w:hint="eastAsia" w:ascii="宋体" w:hAnsi="宋体" w:eastAsia="宋体" w:cs="宋体"/>
                <w:b w:val="0"/>
                <w:bCs w:val="0"/>
                <w:lang w:val="en-US" w:eastAsia="zh-CN"/>
              </w:rPr>
              <w:t>2、付</w:t>
            </w:r>
            <w:r>
              <w:rPr>
                <w:rFonts w:hint="eastAsia" w:ascii="宋体" w:hAnsi="宋体" w:eastAsia="宋体" w:cs="宋体"/>
                <w:b w:val="0"/>
                <w:bCs w:val="0"/>
                <w:szCs w:val="21"/>
                <w:lang w:val="en-US" w:eastAsia="zh-CN"/>
              </w:rPr>
              <w:t>款方式及时间：本合同签定后，收到中标单位开具的合法有效的发票15个工作日内向中标单位支付50%的合同款。服务期结束，依据《服务商履约情况说明》进行项目验收，合格后向中标单位支付50%的合同款。因国库集中支付等财政资金支付程序或政策导致的迟延付款，不必承担违约责任。</w:t>
            </w:r>
          </w:p>
          <w:p w14:paraId="1AAEDE95">
            <w:pPr>
              <w:spacing w:line="276" w:lineRule="auto"/>
              <w:ind w:firstLine="371" w:firstLineChars="177"/>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采购单位税务登记信息如下：</w:t>
            </w:r>
          </w:p>
          <w:p w14:paraId="24308D44">
            <w:pPr>
              <w:spacing w:line="276" w:lineRule="auto"/>
              <w:ind w:firstLine="371" w:firstLineChars="177"/>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单位名称： 深圳大学城图书馆</w:t>
            </w:r>
          </w:p>
          <w:p w14:paraId="5FE88C01">
            <w:pPr>
              <w:spacing w:line="276" w:lineRule="auto"/>
              <w:ind w:firstLine="371" w:firstLineChars="177"/>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开户行及账号： 平安银行深圳华富支行0142100395892</w:t>
            </w:r>
          </w:p>
          <w:p w14:paraId="0864A163">
            <w:pPr>
              <w:spacing w:line="276" w:lineRule="auto"/>
              <w:ind w:firstLine="371" w:firstLineChars="177"/>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税务登记地址、电话：12440300455756154M</w:t>
            </w:r>
          </w:p>
          <w:p w14:paraId="09D317B1">
            <w:pPr>
              <w:spacing w:line="276" w:lineRule="auto"/>
              <w:ind w:firstLine="373" w:firstLineChars="177"/>
              <w:rPr>
                <w:rFonts w:hint="eastAsia" w:ascii="宋体" w:hAnsi="宋体" w:eastAsia="宋体" w:cs="宋体"/>
                <w:b w:val="0"/>
                <w:bCs w:val="0"/>
                <w:szCs w:val="21"/>
                <w:lang w:val="en-US" w:eastAsia="zh-CN"/>
              </w:rPr>
            </w:pPr>
            <w:r>
              <w:rPr>
                <w:rFonts w:hint="eastAsia" w:ascii="宋体" w:hAnsi="宋体" w:eastAsia="宋体" w:cs="宋体"/>
                <w:b/>
                <w:bCs/>
                <w:szCs w:val="21"/>
                <w:lang w:val="en-US" w:eastAsia="zh-CN"/>
              </w:rPr>
              <w:t>3、</w:t>
            </w:r>
            <w:r>
              <w:rPr>
                <w:rFonts w:hint="eastAsia" w:ascii="宋体" w:hAnsi="宋体" w:eastAsia="宋体" w:cs="宋体"/>
                <w:b/>
                <w:bCs/>
                <w:szCs w:val="21"/>
                <w:lang w:eastAsia="zh-CN"/>
              </w:rPr>
              <w:t>项目验收：</w:t>
            </w:r>
            <w:r>
              <w:rPr>
                <w:rFonts w:hint="eastAsia" w:ascii="宋体" w:hAnsi="宋体" w:eastAsia="宋体" w:cs="宋体"/>
                <w:b w:val="0"/>
                <w:bCs w:val="0"/>
                <w:szCs w:val="21"/>
                <w:lang w:val="en-US" w:eastAsia="zh-CN"/>
              </w:rPr>
              <w:t>服务期结束前40个工作日内，由采购人组织验收并进行服务评价，填写《服务商履约情况说明》，满足服务内容的要求，且符合服务商履约情况良好。</w:t>
            </w:r>
          </w:p>
          <w:p w14:paraId="089E4C38">
            <w:pPr>
              <w:spacing w:line="276" w:lineRule="auto"/>
              <w:ind w:firstLine="373" w:firstLineChars="177"/>
              <w:rPr>
                <w:rFonts w:hint="eastAsia" w:ascii="宋体" w:hAnsi="宋体" w:eastAsia="宋体" w:cs="宋体"/>
                <w:b/>
                <w:bCs/>
                <w:szCs w:val="21"/>
                <w:lang w:eastAsia="zh-CN"/>
              </w:rPr>
            </w:pPr>
            <w:r>
              <w:rPr>
                <w:rFonts w:hint="eastAsia" w:ascii="宋体" w:hAnsi="宋体" w:eastAsia="宋体" w:cs="宋体"/>
                <w:b/>
                <w:bCs/>
                <w:szCs w:val="21"/>
                <w:lang w:val="en-US" w:eastAsia="zh-CN"/>
              </w:rPr>
              <w:t>4、</w:t>
            </w:r>
            <w:r>
              <w:rPr>
                <w:rFonts w:hint="eastAsia" w:ascii="宋体" w:hAnsi="宋体" w:eastAsia="宋体" w:cs="宋体"/>
                <w:b/>
                <w:bCs/>
                <w:szCs w:val="21"/>
                <w:lang w:eastAsia="zh-CN"/>
              </w:rPr>
              <w:t>违约与终止</w:t>
            </w:r>
          </w:p>
          <w:p w14:paraId="0A93F283">
            <w:pPr>
              <w:spacing w:line="276" w:lineRule="auto"/>
              <w:ind w:firstLine="371" w:firstLineChars="177"/>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val="en-US" w:eastAsia="zh-CN"/>
              </w:rPr>
              <w:t>1.</w:t>
            </w:r>
            <w:r>
              <w:rPr>
                <w:rFonts w:hint="eastAsia" w:ascii="宋体" w:hAnsi="宋体" w:eastAsia="宋体" w:cs="宋体"/>
                <w:b w:val="0"/>
                <w:bCs w:val="0"/>
                <w:color w:val="auto"/>
                <w:szCs w:val="21"/>
                <w:lang w:eastAsia="zh-CN"/>
              </w:rPr>
              <w:t>任一方</w:t>
            </w:r>
            <w:r>
              <w:rPr>
                <w:rFonts w:hint="eastAsia" w:ascii="宋体" w:hAnsi="宋体" w:cs="宋体"/>
                <w:b w:val="0"/>
                <w:bCs w:val="0"/>
                <w:color w:val="auto"/>
                <w:szCs w:val="21"/>
                <w:lang w:val="en-US" w:eastAsia="zh-CN"/>
              </w:rPr>
              <w:t>提出解除</w:t>
            </w:r>
            <w:r>
              <w:rPr>
                <w:rFonts w:hint="eastAsia" w:ascii="宋体" w:hAnsi="宋体" w:eastAsia="宋体" w:cs="宋体"/>
                <w:b w:val="0"/>
                <w:bCs w:val="0"/>
                <w:color w:val="auto"/>
                <w:szCs w:val="21"/>
                <w:lang w:eastAsia="zh-CN"/>
              </w:rPr>
              <w:t>合同</w:t>
            </w:r>
            <w:r>
              <w:rPr>
                <w:rFonts w:hint="eastAsia" w:ascii="宋体" w:hAnsi="宋体" w:cs="宋体"/>
                <w:b w:val="0"/>
                <w:bCs w:val="0"/>
                <w:color w:val="auto"/>
                <w:szCs w:val="21"/>
                <w:lang w:val="en-US" w:eastAsia="zh-CN"/>
              </w:rPr>
              <w:t>的</w:t>
            </w:r>
            <w:r>
              <w:rPr>
                <w:rFonts w:hint="eastAsia" w:ascii="宋体" w:hAnsi="宋体" w:eastAsia="宋体" w:cs="宋体"/>
                <w:b w:val="0"/>
                <w:bCs w:val="0"/>
                <w:color w:val="auto"/>
                <w:szCs w:val="21"/>
                <w:lang w:eastAsia="zh-CN"/>
              </w:rPr>
              <w:t>，应</w:t>
            </w:r>
            <w:r>
              <w:rPr>
                <w:rFonts w:hint="eastAsia" w:ascii="宋体" w:hAnsi="宋体" w:cs="宋体"/>
                <w:b w:val="0"/>
                <w:bCs w:val="0"/>
                <w:color w:val="auto"/>
                <w:szCs w:val="21"/>
                <w:lang w:val="en-US" w:eastAsia="zh-CN"/>
              </w:rPr>
              <w:t>当</w:t>
            </w:r>
            <w:r>
              <w:rPr>
                <w:rFonts w:hint="eastAsia" w:ascii="宋体" w:hAnsi="宋体" w:eastAsia="宋体" w:cs="宋体"/>
                <w:b w:val="0"/>
                <w:bCs w:val="0"/>
                <w:color w:val="auto"/>
                <w:szCs w:val="21"/>
                <w:lang w:eastAsia="zh-CN"/>
              </w:rPr>
              <w:t>提前30日</w:t>
            </w:r>
            <w:r>
              <w:rPr>
                <w:rFonts w:hint="eastAsia" w:ascii="宋体" w:hAnsi="宋体" w:cs="宋体"/>
                <w:b w:val="0"/>
                <w:bCs w:val="0"/>
                <w:color w:val="auto"/>
                <w:szCs w:val="21"/>
                <w:lang w:val="en-US" w:eastAsia="zh-CN"/>
              </w:rPr>
              <w:t>以</w:t>
            </w:r>
            <w:r>
              <w:rPr>
                <w:rFonts w:hint="eastAsia" w:ascii="宋体" w:hAnsi="宋体" w:eastAsia="宋体" w:cs="宋体"/>
                <w:b w:val="0"/>
                <w:bCs w:val="0"/>
                <w:color w:val="auto"/>
                <w:szCs w:val="21"/>
                <w:lang w:eastAsia="zh-CN"/>
              </w:rPr>
              <w:t>书面</w:t>
            </w:r>
            <w:r>
              <w:rPr>
                <w:rFonts w:hint="eastAsia" w:ascii="宋体" w:hAnsi="宋体" w:cs="宋体"/>
                <w:b w:val="0"/>
                <w:bCs w:val="0"/>
                <w:color w:val="auto"/>
                <w:szCs w:val="21"/>
                <w:lang w:val="en-US" w:eastAsia="zh-CN"/>
              </w:rPr>
              <w:t>形式</w:t>
            </w:r>
            <w:r>
              <w:rPr>
                <w:rFonts w:hint="eastAsia" w:ascii="宋体" w:hAnsi="宋体" w:eastAsia="宋体" w:cs="宋体"/>
                <w:b w:val="0"/>
                <w:bCs w:val="0"/>
                <w:color w:val="auto"/>
                <w:szCs w:val="21"/>
                <w:lang w:eastAsia="zh-CN"/>
              </w:rPr>
              <w:t>通知</w:t>
            </w:r>
            <w:r>
              <w:rPr>
                <w:rFonts w:hint="eastAsia" w:ascii="宋体" w:hAnsi="宋体" w:cs="宋体"/>
                <w:b w:val="0"/>
                <w:bCs w:val="0"/>
                <w:color w:val="auto"/>
                <w:szCs w:val="21"/>
                <w:lang w:val="en-US" w:eastAsia="zh-CN"/>
              </w:rPr>
              <w:t>相</w:t>
            </w:r>
            <w:r>
              <w:rPr>
                <w:rFonts w:hint="eastAsia" w:ascii="宋体" w:hAnsi="宋体" w:eastAsia="宋体" w:cs="宋体"/>
                <w:b w:val="0"/>
                <w:bCs w:val="0"/>
                <w:color w:val="auto"/>
                <w:szCs w:val="21"/>
                <w:lang w:eastAsia="zh-CN"/>
              </w:rPr>
              <w:t>对方。</w:t>
            </w:r>
          </w:p>
          <w:p w14:paraId="0948B625">
            <w:pPr>
              <w:spacing w:line="276" w:lineRule="auto"/>
              <w:ind w:firstLine="371" w:firstLineChars="177"/>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eastAsia="宋体" w:cs="宋体"/>
                <w:b w:val="0"/>
                <w:bCs w:val="0"/>
                <w:szCs w:val="21"/>
                <w:lang w:eastAsia="zh-CN"/>
              </w:rPr>
              <w:t>2.在合同的履行过程中，</w:t>
            </w:r>
            <w:r>
              <w:rPr>
                <w:rFonts w:hint="eastAsia" w:ascii="宋体" w:hAnsi="宋体" w:eastAsia="宋体" w:cs="宋体"/>
                <w:b w:val="0"/>
                <w:bCs w:val="0"/>
                <w:szCs w:val="21"/>
                <w:lang w:val="en-US" w:eastAsia="zh-CN"/>
              </w:rPr>
              <w:t>中标单位</w:t>
            </w:r>
            <w:r>
              <w:rPr>
                <w:rFonts w:hint="eastAsia" w:ascii="宋体" w:hAnsi="宋体" w:eastAsia="宋体" w:cs="宋体"/>
                <w:b w:val="0"/>
                <w:bCs w:val="0"/>
                <w:szCs w:val="21"/>
                <w:lang w:eastAsia="zh-CN"/>
              </w:rPr>
              <w:t>必须按照合同约定履行义务，若</w:t>
            </w:r>
            <w:r>
              <w:rPr>
                <w:rFonts w:hint="eastAsia" w:ascii="宋体" w:hAnsi="宋体" w:eastAsia="宋体" w:cs="宋体"/>
                <w:b w:val="0"/>
                <w:bCs w:val="0"/>
                <w:szCs w:val="21"/>
                <w:lang w:val="en-US" w:eastAsia="zh-CN"/>
              </w:rPr>
              <w:t>中标单位</w:t>
            </w:r>
            <w:r>
              <w:rPr>
                <w:rFonts w:hint="eastAsia" w:ascii="宋体" w:hAnsi="宋体" w:eastAsia="宋体" w:cs="宋体"/>
                <w:b w:val="0"/>
                <w:bCs w:val="0"/>
                <w:szCs w:val="21"/>
                <w:lang w:eastAsia="zh-CN"/>
              </w:rPr>
              <w:t>违反了合同的约定，或不承担或不及时、充分地承担本合同项下其应承担的义务即构成违约行为，</w:t>
            </w:r>
            <w:r>
              <w:rPr>
                <w:rFonts w:hint="eastAsia" w:ascii="宋体" w:hAnsi="宋体" w:eastAsia="宋体" w:cs="宋体"/>
                <w:b w:val="0"/>
                <w:bCs w:val="0"/>
                <w:szCs w:val="21"/>
                <w:lang w:val="en-US" w:eastAsia="zh-CN"/>
              </w:rPr>
              <w:t>图书馆</w:t>
            </w:r>
            <w:r>
              <w:rPr>
                <w:rFonts w:hint="eastAsia" w:ascii="宋体" w:hAnsi="宋体" w:eastAsia="宋体" w:cs="宋体"/>
                <w:b w:val="0"/>
                <w:bCs w:val="0"/>
                <w:szCs w:val="21"/>
                <w:lang w:eastAsia="zh-CN"/>
              </w:rPr>
              <w:t>有权以书面通知要求</w:t>
            </w:r>
            <w:r>
              <w:rPr>
                <w:rFonts w:hint="eastAsia" w:ascii="宋体" w:hAnsi="宋体" w:eastAsia="宋体" w:cs="宋体"/>
                <w:b w:val="0"/>
                <w:bCs w:val="0"/>
                <w:szCs w:val="21"/>
                <w:lang w:val="en-US" w:eastAsia="zh-CN"/>
              </w:rPr>
              <w:t>中标单位</w:t>
            </w:r>
            <w:r>
              <w:rPr>
                <w:rFonts w:hint="eastAsia" w:ascii="宋体" w:hAnsi="宋体" w:eastAsia="宋体" w:cs="宋体"/>
                <w:b w:val="0"/>
                <w:bCs w:val="0"/>
                <w:szCs w:val="21"/>
                <w:lang w:eastAsia="zh-CN"/>
              </w:rPr>
              <w:t>纠正其违约行为并采取充分、有效、及时的措施消除违约后果。若</w:t>
            </w:r>
            <w:r>
              <w:rPr>
                <w:rFonts w:hint="eastAsia" w:ascii="宋体" w:hAnsi="宋体" w:eastAsia="宋体" w:cs="宋体"/>
                <w:b w:val="0"/>
                <w:bCs w:val="0"/>
                <w:szCs w:val="21"/>
                <w:lang w:val="en-US" w:eastAsia="zh-CN"/>
              </w:rPr>
              <w:t>中标单位</w:t>
            </w:r>
            <w:r>
              <w:rPr>
                <w:rFonts w:hint="eastAsia" w:ascii="宋体" w:hAnsi="宋体" w:eastAsia="宋体" w:cs="宋体"/>
                <w:b w:val="0"/>
                <w:bCs w:val="0"/>
                <w:szCs w:val="21"/>
                <w:lang w:eastAsia="zh-CN"/>
              </w:rPr>
              <w:t>在收到</w:t>
            </w:r>
            <w:r>
              <w:rPr>
                <w:rFonts w:hint="eastAsia" w:ascii="宋体" w:hAnsi="宋体" w:eastAsia="宋体" w:cs="宋体"/>
                <w:b w:val="0"/>
                <w:bCs w:val="0"/>
                <w:szCs w:val="21"/>
                <w:lang w:val="en-US" w:eastAsia="zh-CN"/>
              </w:rPr>
              <w:t>图书馆</w:t>
            </w:r>
            <w:r>
              <w:rPr>
                <w:rFonts w:hint="eastAsia" w:ascii="宋体" w:hAnsi="宋体" w:eastAsia="宋体" w:cs="宋体"/>
                <w:b w:val="0"/>
                <w:bCs w:val="0"/>
                <w:szCs w:val="21"/>
                <w:lang w:eastAsia="zh-CN"/>
              </w:rPr>
              <w:t>关于其违约行为的上述通知后十个工作日</w:t>
            </w:r>
            <w:r>
              <w:rPr>
                <w:rFonts w:hint="eastAsia" w:ascii="宋体" w:hAnsi="宋体" w:eastAsia="宋体" w:cs="宋体"/>
                <w:b w:val="0"/>
                <w:bCs w:val="0"/>
                <w:color w:val="000000" w:themeColor="text1"/>
                <w:szCs w:val="21"/>
                <w:lang w:eastAsia="zh-CN"/>
                <w14:textFill>
                  <w14:solidFill>
                    <w14:schemeClr w14:val="tx1"/>
                  </w14:solidFill>
                </w14:textFill>
              </w:rPr>
              <w:t>内未纠正其违约行为，</w:t>
            </w:r>
            <w:r>
              <w:rPr>
                <w:rFonts w:hint="eastAsia" w:ascii="宋体" w:hAnsi="宋体" w:eastAsia="宋体" w:cs="宋体"/>
                <w:b w:val="0"/>
                <w:bCs w:val="0"/>
                <w:color w:val="000000" w:themeColor="text1"/>
                <w:szCs w:val="21"/>
                <w:lang w:val="en-US" w:eastAsia="zh-CN"/>
                <w14:textFill>
                  <w14:solidFill>
                    <w14:schemeClr w14:val="tx1"/>
                  </w14:solidFill>
                </w14:textFill>
              </w:rPr>
              <w:t>图书馆</w:t>
            </w:r>
            <w:r>
              <w:rPr>
                <w:rFonts w:hint="eastAsia" w:ascii="宋体" w:hAnsi="宋体" w:eastAsia="宋体" w:cs="宋体"/>
                <w:b w:val="0"/>
                <w:bCs w:val="0"/>
                <w:color w:val="000000" w:themeColor="text1"/>
                <w:szCs w:val="21"/>
                <w:lang w:eastAsia="zh-CN"/>
                <w14:textFill>
                  <w14:solidFill>
                    <w14:schemeClr w14:val="tx1"/>
                  </w14:solidFill>
                </w14:textFill>
              </w:rPr>
              <w:t>有权以书面通知的方式单方提前终止本合同，</w:t>
            </w:r>
            <w:r>
              <w:rPr>
                <w:rFonts w:hint="eastAsia" w:ascii="宋体" w:hAnsi="宋体" w:eastAsia="宋体" w:cs="宋体"/>
                <w:b w:val="0"/>
                <w:bCs w:val="0"/>
                <w:color w:val="000000" w:themeColor="text1"/>
                <w:szCs w:val="21"/>
                <w:lang w:val="en-US" w:eastAsia="zh-CN"/>
                <w14:textFill>
                  <w14:solidFill>
                    <w14:schemeClr w14:val="tx1"/>
                  </w14:solidFill>
                </w14:textFill>
              </w:rPr>
              <w:t>中标单位</w:t>
            </w:r>
            <w:r>
              <w:rPr>
                <w:rFonts w:hint="eastAsia" w:ascii="宋体" w:hAnsi="宋体" w:eastAsia="宋体" w:cs="宋体"/>
                <w:b w:val="0"/>
                <w:bCs w:val="0"/>
                <w:color w:val="000000" w:themeColor="text1"/>
                <w:szCs w:val="21"/>
                <w:lang w:eastAsia="zh-CN"/>
                <w14:textFill>
                  <w14:solidFill>
                    <w14:schemeClr w14:val="tx1"/>
                  </w14:solidFill>
                </w14:textFill>
              </w:rPr>
              <w:t>须向</w:t>
            </w:r>
            <w:r>
              <w:rPr>
                <w:rFonts w:hint="eastAsia" w:ascii="宋体" w:hAnsi="宋体" w:eastAsia="宋体" w:cs="宋体"/>
                <w:b w:val="0"/>
                <w:bCs w:val="0"/>
                <w:color w:val="000000" w:themeColor="text1"/>
                <w:szCs w:val="21"/>
                <w:lang w:val="en-US" w:eastAsia="zh-CN"/>
                <w14:textFill>
                  <w14:solidFill>
                    <w14:schemeClr w14:val="tx1"/>
                  </w14:solidFill>
                </w14:textFill>
              </w:rPr>
              <w:t>图书馆</w:t>
            </w:r>
            <w:r>
              <w:rPr>
                <w:rFonts w:hint="eastAsia" w:ascii="宋体" w:hAnsi="宋体" w:eastAsia="宋体" w:cs="宋体"/>
                <w:b w:val="0"/>
                <w:bCs w:val="0"/>
                <w:color w:val="000000" w:themeColor="text1"/>
                <w:szCs w:val="21"/>
                <w:lang w:eastAsia="zh-CN"/>
                <w14:textFill>
                  <w14:solidFill>
                    <w14:schemeClr w14:val="tx1"/>
                  </w14:solidFill>
                </w14:textFill>
              </w:rPr>
              <w:t>支付合同总额的30%作为违约金。</w:t>
            </w:r>
          </w:p>
          <w:p w14:paraId="1448A28E">
            <w:pPr>
              <w:spacing w:line="276" w:lineRule="auto"/>
              <w:ind w:firstLine="373" w:firstLineChars="177"/>
              <w:rPr>
                <w:rFonts w:hint="eastAsia" w:ascii="宋体" w:hAnsi="宋体" w:eastAsia="宋体" w:cs="宋体"/>
                <w:b/>
                <w:szCs w:val="21"/>
              </w:rPr>
            </w:pPr>
            <w:r>
              <w:rPr>
                <w:rFonts w:hint="eastAsia" w:ascii="宋体" w:hAnsi="宋体" w:eastAsia="宋体" w:cs="宋体"/>
                <w:b/>
                <w:szCs w:val="21"/>
              </w:rPr>
              <w:t>5</w:t>
            </w:r>
            <w:r>
              <w:rPr>
                <w:rFonts w:hint="eastAsia" w:ascii="宋体" w:hAnsi="宋体" w:eastAsia="宋体" w:cs="宋体"/>
                <w:b/>
                <w:szCs w:val="21"/>
                <w:lang w:eastAsia="zh-CN"/>
              </w:rPr>
              <w:t>、</w:t>
            </w:r>
            <w:r>
              <w:rPr>
                <w:rFonts w:hint="eastAsia" w:ascii="宋体" w:hAnsi="宋体" w:eastAsia="宋体" w:cs="宋体"/>
                <w:b/>
                <w:szCs w:val="21"/>
              </w:rPr>
              <w:t>不可抗力及情势变更</w:t>
            </w:r>
          </w:p>
          <w:p w14:paraId="309CDC56">
            <w:pPr>
              <w:spacing w:line="276" w:lineRule="auto"/>
              <w:ind w:firstLine="371" w:firstLineChars="177"/>
              <w:rPr>
                <w:rFonts w:hint="eastAsia" w:ascii="宋体" w:hAnsi="宋体" w:eastAsia="宋体" w:cs="宋体"/>
                <w:b w:val="0"/>
                <w:bCs w:val="0"/>
                <w:szCs w:val="21"/>
                <w:lang w:eastAsia="zh-CN"/>
              </w:rPr>
            </w:pPr>
            <w:r>
              <w:rPr>
                <w:rFonts w:hint="eastAsia" w:ascii="宋体" w:hAnsi="宋体" w:eastAsia="宋体" w:cs="宋体"/>
                <w:b w:val="0"/>
                <w:bCs w:val="0"/>
                <w:szCs w:val="21"/>
                <w:lang w:val="en-US" w:eastAsia="zh-CN"/>
              </w:rPr>
              <w:t>1.</w:t>
            </w:r>
            <w:r>
              <w:rPr>
                <w:rFonts w:hint="eastAsia" w:ascii="宋体" w:hAnsi="宋体" w:eastAsia="宋体" w:cs="宋体"/>
                <w:b w:val="0"/>
                <w:bCs w:val="0"/>
                <w:szCs w:val="21"/>
                <w:lang w:eastAsia="zh-CN"/>
              </w:rPr>
              <w:t>合同存续期间，如果出现任何不可预见、不可避免并且不能克服的客观情况，包括但不限于国家政策、法规的重大变化、地震、水灾、瘟疫以及战争等情形，而这种客观情况已经或可能将会对一方履行其在合同项下的义务产生重大不利影响，影响一方履行其在合同项下的义务，则该方在不可抗力造成的延误期内中止履行合同义务的，不应被视为违约，不承担责任。</w:t>
            </w:r>
          </w:p>
          <w:p w14:paraId="6F5D009F">
            <w:pPr>
              <w:spacing w:line="276" w:lineRule="auto"/>
              <w:ind w:firstLine="371" w:firstLineChars="177"/>
              <w:rPr>
                <w:rFonts w:hint="eastAsia" w:ascii="宋体" w:hAnsi="宋体" w:eastAsia="宋体" w:cs="宋体"/>
                <w:b w:val="0"/>
                <w:bCs w:val="0"/>
                <w:szCs w:val="21"/>
                <w:lang w:eastAsia="zh-CN"/>
              </w:rPr>
            </w:pPr>
            <w:r>
              <w:rPr>
                <w:rFonts w:hint="eastAsia" w:ascii="宋体" w:hAnsi="宋体" w:eastAsia="宋体" w:cs="宋体"/>
                <w:b w:val="0"/>
                <w:bCs w:val="0"/>
                <w:szCs w:val="21"/>
                <w:lang w:val="en-US" w:eastAsia="zh-CN"/>
              </w:rPr>
              <w:t>2.</w:t>
            </w:r>
            <w:r>
              <w:rPr>
                <w:rFonts w:hint="eastAsia" w:ascii="宋体" w:hAnsi="宋体" w:eastAsia="宋体" w:cs="宋体"/>
                <w:b w:val="0"/>
                <w:bCs w:val="0"/>
                <w:szCs w:val="21"/>
                <w:lang w:eastAsia="zh-CN"/>
              </w:rPr>
              <w:t>宣称发生不可抗力事件的一方应于不可抗力事由发生之日起72小时内书面通知另一方，采取措施防止损失的扩大，并在其后的15日内提供证明不可抗力事件发生及其持续的足够证据。</w:t>
            </w:r>
          </w:p>
          <w:p w14:paraId="7443F1E9">
            <w:pPr>
              <w:spacing w:line="276" w:lineRule="auto"/>
              <w:ind w:firstLine="371" w:firstLineChars="177"/>
              <w:rPr>
                <w:rFonts w:hint="eastAsia" w:ascii="宋体" w:hAnsi="宋体" w:eastAsia="宋体" w:cs="宋体"/>
                <w:b w:val="0"/>
                <w:bCs w:val="0"/>
                <w:szCs w:val="21"/>
                <w:lang w:eastAsia="zh-CN"/>
              </w:rPr>
            </w:pPr>
            <w:r>
              <w:rPr>
                <w:rFonts w:hint="eastAsia" w:ascii="宋体" w:hAnsi="宋体" w:eastAsia="宋体" w:cs="宋体"/>
                <w:b w:val="0"/>
                <w:bCs w:val="0"/>
                <w:szCs w:val="21"/>
                <w:lang w:val="en-US" w:eastAsia="zh-CN"/>
              </w:rPr>
              <w:t>3.</w:t>
            </w:r>
            <w:r>
              <w:rPr>
                <w:rFonts w:hint="eastAsia" w:ascii="宋体" w:hAnsi="宋体" w:eastAsia="宋体" w:cs="宋体"/>
                <w:b w:val="0"/>
                <w:bCs w:val="0"/>
                <w:szCs w:val="21"/>
                <w:lang w:eastAsia="zh-CN"/>
              </w:rPr>
              <w:t>如果发生不可抗力事件，双方应立即互相协商，以找到公平的解决办法，并且应尽一切合理努力将不可抗力事件的后果减小到最低限度。如不可抗力事件的发生或后果对合同的履行造成重大妨碍，时间超过1个月，并且双方没有找到公平的解决办法，则任何一方可以书面通知另一方，终止合同，</w:t>
            </w:r>
            <w:r>
              <w:rPr>
                <w:rFonts w:hint="eastAsia" w:ascii="宋体" w:hAnsi="宋体" w:eastAsia="宋体" w:cs="宋体"/>
                <w:b w:val="0"/>
                <w:bCs w:val="0"/>
                <w:szCs w:val="21"/>
                <w:lang w:val="en-US" w:eastAsia="zh-CN"/>
              </w:rPr>
              <w:t>中标单位</w:t>
            </w:r>
            <w:r>
              <w:rPr>
                <w:rFonts w:hint="eastAsia" w:ascii="宋体" w:hAnsi="宋体" w:eastAsia="宋体" w:cs="宋体"/>
                <w:b w:val="0"/>
                <w:bCs w:val="0"/>
                <w:szCs w:val="21"/>
                <w:lang w:eastAsia="zh-CN"/>
              </w:rPr>
              <w:t>须将已收取的款项（扣除经采购人确认的合理支出）返还采购人，各方互不承担违约责任。解除合同的通知到达另一方时生效</w:t>
            </w:r>
            <w:r>
              <w:rPr>
                <w:rFonts w:hint="eastAsia" w:ascii="宋体" w:hAnsi="宋体" w:eastAsia="宋体" w:cs="宋体"/>
                <w:b w:val="0"/>
                <w:bCs w:val="0"/>
                <w:szCs w:val="21"/>
                <w:lang w:eastAsia="zh-Hans"/>
              </w:rPr>
              <w:t>。</w:t>
            </w:r>
          </w:p>
          <w:p w14:paraId="483C738B">
            <w:pPr>
              <w:spacing w:line="276" w:lineRule="auto"/>
              <w:ind w:firstLine="371" w:firstLineChars="177"/>
              <w:rPr>
                <w:rFonts w:hint="eastAsia" w:ascii="宋体" w:hAnsi="宋体" w:eastAsia="宋体" w:cs="宋体"/>
                <w:b w:val="0"/>
                <w:bCs w:val="0"/>
                <w:szCs w:val="21"/>
                <w:lang w:eastAsia="zh-CN"/>
              </w:rPr>
            </w:pPr>
            <w:r>
              <w:rPr>
                <w:rFonts w:hint="eastAsia" w:ascii="宋体" w:hAnsi="宋体" w:eastAsia="宋体" w:cs="宋体"/>
                <w:b w:val="0"/>
                <w:bCs w:val="0"/>
                <w:szCs w:val="21"/>
                <w:lang w:val="en-US" w:eastAsia="zh-CN"/>
              </w:rPr>
              <w:t>4.</w:t>
            </w:r>
            <w:r>
              <w:rPr>
                <w:rFonts w:hint="eastAsia" w:ascii="宋体" w:hAnsi="宋体" w:eastAsia="宋体" w:cs="宋体"/>
                <w:b w:val="0"/>
                <w:bCs w:val="0"/>
                <w:szCs w:val="21"/>
                <w:lang w:eastAsia="zh-CN"/>
              </w:rPr>
              <w:t>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7034C97E">
            <w:pPr>
              <w:spacing w:line="276" w:lineRule="auto"/>
              <w:ind w:firstLine="373" w:firstLineChars="177"/>
              <w:rPr>
                <w:rFonts w:hint="eastAsia" w:ascii="宋体" w:hAnsi="宋体" w:eastAsia="宋体" w:cs="宋体"/>
                <w:szCs w:val="21"/>
              </w:rPr>
            </w:pPr>
            <w:r>
              <w:rPr>
                <w:rFonts w:hint="eastAsia" w:ascii="宋体" w:hAnsi="宋体" w:eastAsia="宋体" w:cs="宋体"/>
                <w:b/>
                <w:szCs w:val="21"/>
              </w:rPr>
              <w:t>6</w:t>
            </w:r>
            <w:r>
              <w:rPr>
                <w:rFonts w:hint="eastAsia" w:ascii="宋体" w:hAnsi="宋体" w:eastAsia="宋体" w:cs="宋体"/>
                <w:b/>
                <w:szCs w:val="21"/>
                <w:lang w:eastAsia="zh-CN"/>
              </w:rPr>
              <w:t>、</w:t>
            </w:r>
            <w:r>
              <w:rPr>
                <w:rFonts w:hint="eastAsia" w:ascii="宋体" w:hAnsi="宋体" w:eastAsia="宋体" w:cs="宋体"/>
                <w:b/>
                <w:szCs w:val="21"/>
              </w:rPr>
              <w:t>解决争议</w:t>
            </w:r>
          </w:p>
          <w:p w14:paraId="64743E65">
            <w:pPr>
              <w:spacing w:line="276" w:lineRule="auto"/>
              <w:ind w:firstLine="371" w:firstLineChars="177"/>
              <w:rPr>
                <w:rFonts w:hint="eastAsia" w:ascii="宋体" w:hAnsi="宋体" w:eastAsia="宋体" w:cs="宋体"/>
              </w:rPr>
            </w:pPr>
            <w:r>
              <w:rPr>
                <w:rFonts w:hint="eastAsia" w:ascii="宋体" w:hAnsi="宋体" w:eastAsia="宋体" w:cs="宋体"/>
              </w:rPr>
              <w:t>合同纠纷解决方式：执行合同过程中发生争议，由当事人双方协商解决。协商不成，任意一方均可向深圳市南山区人民法院提起诉讼。如任何一方违约，守约方为维护权益支付的一切费用（包括但不限于律师费、诉讼费、保全费、交通费、差旅费、鉴定费等等）均由违约方承担。</w:t>
            </w:r>
          </w:p>
          <w:p w14:paraId="6C7FB0CD">
            <w:pPr>
              <w:spacing w:line="288" w:lineRule="auto"/>
              <w:rPr>
                <w:rFonts w:hint="eastAsia" w:ascii="宋体" w:hAnsi="宋体" w:eastAsia="宋体" w:cs="宋体"/>
              </w:rPr>
            </w:pPr>
          </w:p>
        </w:tc>
      </w:tr>
    </w:tbl>
    <w:p w14:paraId="4B25AFE0">
      <w:pPr>
        <w:pStyle w:val="2"/>
      </w:pPr>
    </w:p>
    <w:p w14:paraId="60B47B30"/>
    <w:p w14:paraId="0DEC0816">
      <w:pPr>
        <w:pStyle w:val="2"/>
      </w:pPr>
    </w:p>
    <w:p w14:paraId="670D86CB">
      <w:pPr>
        <w:pStyle w:val="2"/>
        <w:sectPr>
          <w:headerReference r:id="rId4" w:type="default"/>
          <w:pgSz w:w="11906" w:h="16838"/>
          <w:pgMar w:top="1440" w:right="1800" w:bottom="1440" w:left="1800" w:header="851" w:footer="992" w:gutter="0"/>
          <w:cols w:space="720" w:num="1"/>
          <w:docGrid w:type="lines" w:linePitch="312" w:charSpace="0"/>
        </w:sectPr>
      </w:pPr>
    </w:p>
    <w:p w14:paraId="582D9D5D">
      <w:pPr>
        <w:pStyle w:val="40"/>
        <w:spacing w:before="0" w:after="0" w:line="360" w:lineRule="auto"/>
        <w:rPr>
          <w:lang w:val="zh-CN"/>
        </w:rPr>
      </w:pPr>
      <w:r>
        <w:rPr>
          <w:rFonts w:hint="eastAsia"/>
          <w:lang w:val="zh-CN"/>
        </w:rPr>
        <w:t>第</w:t>
      </w:r>
      <w:r>
        <w:rPr>
          <w:rFonts w:hint="eastAsia"/>
        </w:rPr>
        <w:t>三</w:t>
      </w:r>
      <w:r>
        <w:rPr>
          <w:rFonts w:hint="eastAsia"/>
          <w:lang w:val="zh-CN"/>
        </w:rPr>
        <w:t>章 报价附件</w:t>
      </w:r>
    </w:p>
    <w:p w14:paraId="5099C0DC">
      <w:pPr>
        <w:pStyle w:val="4"/>
        <w:spacing w:before="0" w:after="0"/>
        <w:jc w:val="cente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lang w:val="zh-CN"/>
        </w:rPr>
        <w:t>深圳大学城图书馆</w:t>
      </w:r>
      <w:r>
        <w:rPr>
          <w:rFonts w:hint="eastAsia" w:ascii="宋体" w:hAnsi="宋体" w:eastAsia="宋体" w:cs="宋体"/>
          <w:lang w:val="en-US" w:eastAsia="zh-CN"/>
        </w:rPr>
        <w:t>饮水机维护保养</w:t>
      </w:r>
      <w:r>
        <w:rPr>
          <w:rFonts w:hint="eastAsia" w:ascii="宋体" w:hAnsi="宋体" w:eastAsia="宋体" w:cs="宋体"/>
          <w:lang w:val="zh-CN"/>
        </w:rPr>
        <w:t>服务项目报</w:t>
      </w:r>
      <w:r>
        <w:rPr>
          <w:rFonts w:hint="eastAsia" w:ascii="宋体" w:hAnsi="宋体" w:eastAsia="宋体" w:cs="宋体"/>
          <w:color w:val="000000" w:themeColor="text1"/>
          <w:lang w:val="zh-CN"/>
          <w14:textFill>
            <w14:solidFill>
              <w14:schemeClr w14:val="tx1"/>
            </w14:solidFill>
          </w14:textFill>
        </w:rPr>
        <w:t>价表</w:t>
      </w:r>
    </w:p>
    <w:tbl>
      <w:tblPr>
        <w:tblStyle w:val="43"/>
        <w:tblW w:w="9122" w:type="dxa"/>
        <w:jc w:val="center"/>
        <w:tblLayout w:type="fixed"/>
        <w:tblCellMar>
          <w:top w:w="0" w:type="dxa"/>
          <w:left w:w="0" w:type="dxa"/>
          <w:bottom w:w="0" w:type="dxa"/>
          <w:right w:w="0" w:type="dxa"/>
        </w:tblCellMar>
      </w:tblPr>
      <w:tblGrid>
        <w:gridCol w:w="802"/>
        <w:gridCol w:w="2366"/>
        <w:gridCol w:w="993"/>
        <w:gridCol w:w="992"/>
        <w:gridCol w:w="1701"/>
        <w:gridCol w:w="1276"/>
        <w:gridCol w:w="992"/>
      </w:tblGrid>
      <w:tr w14:paraId="7C29781A">
        <w:tblPrEx>
          <w:tblCellMar>
            <w:top w:w="0" w:type="dxa"/>
            <w:left w:w="0" w:type="dxa"/>
            <w:bottom w:w="0" w:type="dxa"/>
            <w:right w:w="0" w:type="dxa"/>
          </w:tblCellMar>
        </w:tblPrEx>
        <w:trPr>
          <w:trHeight w:val="499"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004C2B">
            <w:pPr>
              <w:jc w:val="center"/>
              <w:textAlignment w:val="center"/>
              <w:rPr>
                <w:rFonts w:ascii="宋体" w:hAnsi="宋体" w:cs="宋体"/>
                <w:b/>
                <w:szCs w:val="21"/>
              </w:rPr>
            </w:pPr>
            <w:r>
              <w:rPr>
                <w:rFonts w:hint="eastAsia" w:ascii="宋体" w:hAnsi="宋体" w:cs="宋体"/>
                <w:b/>
                <w:szCs w:val="21"/>
                <w:lang w:bidi="ar"/>
              </w:rPr>
              <w:t>序号</w:t>
            </w:r>
          </w:p>
        </w:tc>
        <w:tc>
          <w:tcPr>
            <w:tcW w:w="23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2E1279">
            <w:pPr>
              <w:jc w:val="center"/>
              <w:textAlignment w:val="center"/>
              <w:rPr>
                <w:rFonts w:ascii="宋体" w:hAnsi="宋体" w:cs="宋体"/>
                <w:b/>
                <w:szCs w:val="21"/>
              </w:rPr>
            </w:pPr>
            <w:r>
              <w:rPr>
                <w:rFonts w:hint="eastAsia" w:ascii="宋体" w:hAnsi="宋体" w:cs="宋体"/>
                <w:b/>
                <w:szCs w:val="21"/>
                <w:lang w:bidi="ar"/>
              </w:rPr>
              <w:t>采购项目名称</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06089E">
            <w:pPr>
              <w:jc w:val="center"/>
              <w:textAlignment w:val="center"/>
              <w:rPr>
                <w:rFonts w:ascii="宋体" w:hAnsi="宋体" w:cs="宋体"/>
                <w:b/>
                <w:szCs w:val="21"/>
              </w:rPr>
            </w:pPr>
            <w:r>
              <w:rPr>
                <w:rFonts w:hint="eastAsia" w:ascii="宋体" w:hAnsi="宋体" w:cs="宋体"/>
                <w:b/>
                <w:szCs w:val="21"/>
                <w:lang w:bidi="ar"/>
              </w:rPr>
              <w:t>数量</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8CCD98">
            <w:pPr>
              <w:jc w:val="center"/>
              <w:textAlignment w:val="center"/>
              <w:rPr>
                <w:rFonts w:ascii="宋体" w:hAnsi="宋体" w:cs="宋体"/>
                <w:b/>
                <w:szCs w:val="21"/>
              </w:rPr>
            </w:pPr>
            <w:r>
              <w:rPr>
                <w:rFonts w:hint="eastAsia" w:ascii="宋体" w:hAnsi="宋体" w:cs="宋体"/>
                <w:b/>
                <w:szCs w:val="21"/>
                <w:lang w:bidi="ar"/>
              </w:rPr>
              <w:t>单位</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4C5642">
            <w:pPr>
              <w:jc w:val="center"/>
              <w:textAlignment w:val="center"/>
              <w:rPr>
                <w:rFonts w:hint="eastAsia" w:ascii="宋体" w:hAnsi="宋体" w:cs="宋体"/>
                <w:b/>
                <w:szCs w:val="21"/>
              </w:rPr>
            </w:pPr>
            <w:r>
              <w:rPr>
                <w:rFonts w:ascii="宋体" w:hAnsi="宋体" w:cs="宋体"/>
                <w:b/>
                <w:szCs w:val="21"/>
                <w:lang w:bidi="ar"/>
              </w:rPr>
              <w:t>品牌型号</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7ADA4">
            <w:pPr>
              <w:jc w:val="center"/>
              <w:textAlignment w:val="center"/>
              <w:rPr>
                <w:rFonts w:ascii="宋体" w:hAnsi="宋体" w:cs="宋体"/>
                <w:b/>
                <w:szCs w:val="21"/>
              </w:rPr>
            </w:pPr>
            <w:r>
              <w:rPr>
                <w:rFonts w:hint="eastAsia" w:ascii="宋体" w:hAnsi="宋体" w:cs="宋体"/>
                <w:b/>
                <w:szCs w:val="21"/>
              </w:rPr>
              <w:t>报价（元）</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6848B2">
            <w:pPr>
              <w:jc w:val="center"/>
              <w:textAlignment w:val="center"/>
              <w:rPr>
                <w:rFonts w:ascii="宋体" w:hAnsi="宋体" w:cs="宋体"/>
                <w:b/>
                <w:szCs w:val="21"/>
              </w:rPr>
            </w:pPr>
            <w:r>
              <w:rPr>
                <w:rFonts w:hint="eastAsia" w:ascii="宋体" w:hAnsi="宋体" w:cs="宋体"/>
                <w:b/>
                <w:szCs w:val="21"/>
              </w:rPr>
              <w:t>备注</w:t>
            </w:r>
          </w:p>
        </w:tc>
      </w:tr>
      <w:tr w14:paraId="6DA06978">
        <w:tblPrEx>
          <w:tblCellMar>
            <w:top w:w="0" w:type="dxa"/>
            <w:left w:w="0" w:type="dxa"/>
            <w:bottom w:w="0" w:type="dxa"/>
            <w:right w:w="0" w:type="dxa"/>
          </w:tblCellMar>
        </w:tblPrEx>
        <w:trPr>
          <w:trHeight w:val="865" w:hRule="atLeast"/>
          <w:jc w:val="center"/>
        </w:trPr>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44731">
            <w:pPr>
              <w:jc w:val="center"/>
              <w:textAlignment w:val="center"/>
              <w:rPr>
                <w:rFonts w:ascii="宋体" w:hAnsi="宋体" w:cs="宋体"/>
                <w:szCs w:val="21"/>
              </w:rPr>
            </w:pPr>
            <w:r>
              <w:rPr>
                <w:rFonts w:hint="eastAsia" w:ascii="宋体" w:hAnsi="宋体" w:cs="宋体"/>
                <w:szCs w:val="21"/>
              </w:rPr>
              <w:t>1</w:t>
            </w:r>
          </w:p>
        </w:tc>
        <w:tc>
          <w:tcPr>
            <w:tcW w:w="2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C7674">
            <w:pPr>
              <w:ind w:leftChars="-1" w:hanging="2" w:hangingChars="1"/>
              <w:jc w:val="center"/>
              <w:textAlignment w:val="center"/>
              <w:rPr>
                <w:rFonts w:ascii="宋体" w:hAnsi="宋体" w:cs="宋体"/>
                <w:szCs w:val="21"/>
              </w:rPr>
            </w:pPr>
            <w:r>
              <w:rPr>
                <w:rFonts w:hint="eastAsia" w:ascii="宋体" w:hAnsi="宋体" w:cs="宋体"/>
                <w:szCs w:val="21"/>
              </w:rPr>
              <w:t>大学城图书馆饮水机维护保养</w:t>
            </w: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BF7E3">
            <w:pPr>
              <w:jc w:val="center"/>
              <w:textAlignment w:val="center"/>
              <w:rPr>
                <w:rFonts w:ascii="宋体" w:hAnsi="宋体" w:cs="宋体"/>
                <w:szCs w:val="21"/>
              </w:rPr>
            </w:pPr>
            <w:r>
              <w:rPr>
                <w:rFonts w:hint="eastAsia" w:ascii="宋体" w:hAnsi="宋体" w:cs="宋体"/>
                <w:szCs w:val="21"/>
              </w:rPr>
              <w:t>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48177">
            <w:pPr>
              <w:jc w:val="center"/>
              <w:textAlignment w:val="center"/>
              <w:rPr>
                <w:rFonts w:ascii="宋体" w:hAnsi="宋体" w:cs="宋体"/>
                <w:szCs w:val="21"/>
              </w:rPr>
            </w:pPr>
            <w:r>
              <w:rPr>
                <w:rFonts w:hint="eastAsia" w:ascii="宋体" w:hAnsi="宋体" w:cs="宋体"/>
                <w:szCs w:val="21"/>
              </w:rPr>
              <w:t>台</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7ED42181">
            <w:pPr>
              <w:jc w:val="center"/>
              <w:textAlignment w:val="center"/>
              <w:rPr>
                <w:rFonts w:ascii="宋体" w:hAnsi="宋体" w:cs="宋体"/>
                <w:szCs w:val="21"/>
              </w:rPr>
            </w:pPr>
            <w:r>
              <w:rPr>
                <w:rFonts w:hint="eastAsia" w:ascii="宋体" w:hAnsi="宋体" w:cs="宋体"/>
                <w:szCs w:val="21"/>
              </w:rPr>
              <w:t>“贺众牌”、机型为“UR-313AS-3”的饮水机</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0D8690B">
            <w:pPr>
              <w:jc w:val="center"/>
              <w:textAlignment w:val="center"/>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C4278">
            <w:pPr>
              <w:jc w:val="center"/>
              <w:textAlignment w:val="center"/>
              <w:rPr>
                <w:rFonts w:ascii="宋体" w:hAnsi="宋体" w:cs="宋体"/>
                <w:szCs w:val="21"/>
              </w:rPr>
            </w:pPr>
          </w:p>
        </w:tc>
      </w:tr>
    </w:tbl>
    <w:p w14:paraId="05856821">
      <w:pPr>
        <w:rPr>
          <w:rFonts w:hint="eastAsia" w:ascii="宋体" w:hAnsi="宋体" w:eastAsia="宋体" w:cs="宋体"/>
          <w:color w:val="000000" w:themeColor="text1"/>
          <w:lang w:val="zh-CN"/>
          <w14:textFill>
            <w14:solidFill>
              <w14:schemeClr w14:val="tx1"/>
            </w14:solidFill>
          </w14:textFill>
        </w:rPr>
      </w:pPr>
    </w:p>
    <w:p w14:paraId="718EAADE">
      <w:pPr>
        <w:pStyle w:val="2"/>
        <w:rPr>
          <w:rFonts w:hint="eastAsia"/>
          <w:lang w:val="en-US" w:eastAsia="zh-CN"/>
        </w:rPr>
      </w:pPr>
    </w:p>
    <w:p w14:paraId="3D5EF939">
      <w:pPr>
        <w:spacing w:line="500" w:lineRule="exact"/>
        <w:rPr>
          <w:rFonts w:hint="eastAsia" w:ascii="宋体" w:hAnsi="宋体"/>
          <w:b/>
          <w:color w:val="000000"/>
          <w:spacing w:val="4"/>
          <w:szCs w:val="21"/>
        </w:rPr>
      </w:pPr>
      <w:r>
        <w:rPr>
          <w:rFonts w:hint="eastAsia" w:ascii="宋体" w:hAnsi="宋体"/>
          <w:b/>
          <w:color w:val="000000"/>
          <w:spacing w:val="4"/>
          <w:szCs w:val="21"/>
        </w:rPr>
        <w:t>注：</w:t>
      </w:r>
    </w:p>
    <w:p w14:paraId="05CE3DE1">
      <w:pPr>
        <w:pStyle w:val="39"/>
        <w:numPr>
          <w:ilvl w:val="0"/>
          <w:numId w:val="13"/>
        </w:numPr>
        <w:shd w:val="clear" w:color="auto" w:fill="FFFFFF"/>
        <w:spacing w:line="276" w:lineRule="auto"/>
        <w:rPr>
          <w:rFonts w:hint="eastAsia"/>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20F3B4C8">
      <w:pPr>
        <w:pStyle w:val="39"/>
        <w:numPr>
          <w:ilvl w:val="0"/>
          <w:numId w:val="13"/>
        </w:numPr>
        <w:shd w:val="clear" w:color="auto" w:fill="FFFFFF"/>
        <w:spacing w:line="276" w:lineRule="auto"/>
        <w:rPr>
          <w:rFonts w:hint="eastAsia"/>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3B9AD4E1">
      <w:pPr>
        <w:spacing w:line="520" w:lineRule="exact"/>
        <w:ind w:left="420"/>
        <w:jc w:val="right"/>
        <w:rPr>
          <w:rFonts w:hint="eastAsia" w:ascii="宋体" w:hAnsi="宋体"/>
          <w:color w:val="000000"/>
          <w:spacing w:val="4"/>
          <w:szCs w:val="21"/>
          <w:u w:val="single"/>
        </w:rPr>
      </w:pPr>
    </w:p>
    <w:p w14:paraId="70C6CAB2">
      <w:pPr>
        <w:spacing w:line="520" w:lineRule="exact"/>
        <w:jc w:val="right"/>
        <w:rPr>
          <w:rFonts w:hint="eastAsia" w:ascii="宋体" w:hAnsi="宋体"/>
          <w:color w:val="000000"/>
          <w:spacing w:val="4"/>
          <w:szCs w:val="21"/>
          <w:u w:val="single"/>
        </w:rPr>
      </w:pPr>
    </w:p>
    <w:p w14:paraId="0A0BF1EC">
      <w:pPr>
        <w:spacing w:line="520" w:lineRule="exact"/>
        <w:jc w:val="right"/>
        <w:rPr>
          <w:rFonts w:hint="eastAsia" w:ascii="宋体" w:hAnsi="宋体"/>
          <w:color w:val="000000"/>
          <w:spacing w:val="4"/>
          <w:szCs w:val="21"/>
          <w:u w:val="single"/>
        </w:rPr>
      </w:pPr>
      <w:r>
        <w:rPr>
          <w:rFonts w:ascii="宋体" w:hAnsi="宋体"/>
          <w:color w:val="000000"/>
          <w:spacing w:val="4"/>
          <w:szCs w:val="21"/>
          <w:u w:val="single"/>
        </w:rPr>
        <w:t xml:space="preserve"> </w:t>
      </w:r>
    </w:p>
    <w:p w14:paraId="6C86C6AA">
      <w:pPr>
        <w:wordWrap w:val="0"/>
        <w:spacing w:line="360" w:lineRule="auto"/>
        <w:jc w:val="right"/>
        <w:rPr>
          <w:rFonts w:hint="eastAsia" w:ascii="宋体" w:hAnsi="宋体"/>
          <w:spacing w:val="4"/>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16596F6D">
      <w:pPr>
        <w:wordWrap w:val="0"/>
        <w:spacing w:line="360" w:lineRule="auto"/>
        <w:jc w:val="right"/>
        <w:rPr>
          <w:rFonts w:hint="eastAsia" w:ascii="宋体" w:hAnsi="宋体"/>
          <w:spacing w:val="4"/>
          <w:szCs w:val="21"/>
        </w:rPr>
      </w:pPr>
    </w:p>
    <w:p w14:paraId="7F5CB183">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5F95D7C6">
      <w:pPr>
        <w:wordWrap/>
        <w:spacing w:line="360" w:lineRule="auto"/>
        <w:jc w:val="right"/>
        <w:rPr>
          <w:rFonts w:hint="eastAsia" w:ascii="宋体" w:hAnsi="宋体"/>
          <w:spacing w:val="4"/>
          <w:szCs w:val="21"/>
          <w:u w:val="single"/>
        </w:rPr>
      </w:pPr>
    </w:p>
    <w:p w14:paraId="525A7465">
      <w:pPr>
        <w:pStyle w:val="4"/>
        <w:spacing w:before="0" w:after="0"/>
        <w:jc w:val="center"/>
        <w:rPr>
          <w:rFonts w:cs="宋体"/>
        </w:rPr>
        <w:sectPr>
          <w:pgSz w:w="11906" w:h="16838"/>
          <w:pgMar w:top="1440" w:right="1800" w:bottom="1440" w:left="1135" w:header="851" w:footer="992" w:gutter="0"/>
          <w:cols w:space="720" w:num="1"/>
          <w:docGrid w:type="lines" w:linePitch="312" w:charSpace="0"/>
        </w:sectPr>
      </w:pPr>
      <w:r>
        <w:rPr>
          <w:rFonts w:cs="宋体"/>
        </w:rPr>
        <w:br w:type="page"/>
      </w:r>
    </w:p>
    <w:p w14:paraId="233CE130">
      <w:pPr>
        <w:pStyle w:val="4"/>
        <w:spacing w:before="0" w:after="0"/>
        <w:jc w:val="center"/>
      </w:pPr>
      <w:r>
        <w:rPr>
          <w:rFonts w:hint="eastAsia" w:ascii="宋体" w:hAnsi="宋体" w:eastAsia="宋体" w:cs="宋体"/>
          <w:lang w:val="zh-CN"/>
        </w:rPr>
        <w:t>用户需求书响应声明函</w:t>
      </w:r>
    </w:p>
    <w:p w14:paraId="00560646">
      <w:pPr>
        <w:spacing w:line="360" w:lineRule="auto"/>
        <w:rPr>
          <w:rFonts w:hint="eastAsia" w:ascii="宋体" w:hAnsi="宋体"/>
          <w:b/>
          <w:szCs w:val="21"/>
        </w:rPr>
      </w:pPr>
    </w:p>
    <w:p w14:paraId="12ABE7B2">
      <w:pPr>
        <w:spacing w:line="360" w:lineRule="auto"/>
        <w:rPr>
          <w:rFonts w:hint="eastAsia" w:ascii="宋体" w:hAnsi="宋体"/>
          <w:b/>
          <w:szCs w:val="21"/>
        </w:rPr>
      </w:pPr>
      <w:r>
        <w:rPr>
          <w:rFonts w:hint="eastAsia" w:ascii="宋体" w:hAnsi="宋体"/>
          <w:b/>
          <w:szCs w:val="21"/>
        </w:rPr>
        <w:t>致：</w:t>
      </w:r>
      <w:r>
        <w:rPr>
          <w:b/>
        </w:rPr>
        <w:t>深圳大学城</w:t>
      </w:r>
      <w:r>
        <w:rPr>
          <w:rFonts w:hint="eastAsia"/>
          <w:b/>
        </w:rPr>
        <w:t>图书馆</w:t>
      </w:r>
    </w:p>
    <w:p w14:paraId="50FADE1D">
      <w:pPr>
        <w:spacing w:line="360" w:lineRule="auto"/>
        <w:rPr>
          <w:rFonts w:hint="eastAsia" w:ascii="宋体" w:hAnsi="宋体"/>
          <w:szCs w:val="21"/>
          <w:lang w:val="zh-CN"/>
        </w:rPr>
      </w:pPr>
    </w:p>
    <w:p w14:paraId="5101E14E">
      <w:pPr>
        <w:snapToGrid w:val="0"/>
        <w:spacing w:line="360" w:lineRule="auto"/>
        <w:ind w:firstLine="420" w:firstLineChars="200"/>
        <w:rPr>
          <w:rFonts w:hint="eastAsia" w:ascii="宋体" w:hAnsi="宋体"/>
          <w:szCs w:val="21"/>
        </w:rPr>
      </w:pPr>
      <w:r>
        <w:rPr>
          <w:rFonts w:hint="eastAsia" w:ascii="宋体" w:hAnsi="宋体"/>
          <w:szCs w:val="21"/>
        </w:rPr>
        <w:t>关于贵单位发布</w:t>
      </w:r>
      <w:r>
        <w:rPr>
          <w:rFonts w:hint="eastAsia" w:ascii="宋体" w:hAnsi="宋体"/>
          <w:szCs w:val="21"/>
          <w:u w:val="single"/>
        </w:rPr>
        <w:t xml:space="preserve">                          </w:t>
      </w:r>
      <w:r>
        <w:rPr>
          <w:rFonts w:hint="eastAsia" w:ascii="宋体" w:hAnsi="宋体"/>
          <w:b/>
          <w:bCs/>
          <w:szCs w:val="21"/>
          <w:u w:val="single"/>
        </w:rPr>
        <w:t>项目</w:t>
      </w:r>
      <w:r>
        <w:rPr>
          <w:rFonts w:hint="eastAsia" w:ascii="宋体" w:hAnsi="宋体"/>
          <w:szCs w:val="21"/>
        </w:rPr>
        <w:t>的竞价公告，本公司（企业）愿意参加采购活动，并作出如下声明：</w:t>
      </w:r>
    </w:p>
    <w:p w14:paraId="4E09D7DF">
      <w:pPr>
        <w:pStyle w:val="91"/>
        <w:tabs>
          <w:tab w:val="left" w:pos="426"/>
        </w:tabs>
        <w:snapToGrid w:val="0"/>
        <w:spacing w:line="360" w:lineRule="auto"/>
        <w:ind w:firstLineChars="0"/>
        <w:rPr>
          <w:rFonts w:hint="eastAsia" w:ascii="宋体" w:hAnsi="宋体"/>
          <w:sz w:val="21"/>
        </w:rPr>
      </w:pPr>
      <w:r>
        <w:rPr>
          <w:rFonts w:hint="eastAsia" w:ascii="宋体" w:hAnsi="宋体"/>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4D75EF49">
      <w:pPr>
        <w:pStyle w:val="91"/>
        <w:tabs>
          <w:tab w:val="left" w:pos="426"/>
        </w:tabs>
        <w:snapToGrid w:val="0"/>
        <w:spacing w:line="360" w:lineRule="auto"/>
        <w:ind w:firstLineChars="0"/>
        <w:rPr>
          <w:rFonts w:hint="eastAsia" w:ascii="宋体" w:hAnsi="宋体" w:cs="宋体"/>
          <w:sz w:val="21"/>
        </w:rPr>
      </w:pPr>
      <w:r>
        <w:rPr>
          <w:rFonts w:hint="eastAsia" w:ascii="宋体" w:hAnsi="宋体" w:cs="宋体"/>
          <w:sz w:val="21"/>
        </w:rPr>
        <w:t>本公司（企业）承诺在本次采购活动中，如有违法、违规、弄虚作假行为，所造成的损失、不良后果及法律责任，一律由我公司（企业）承担。</w:t>
      </w:r>
    </w:p>
    <w:p w14:paraId="3AD452CD">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55D81BD8">
      <w:pPr>
        <w:pStyle w:val="85"/>
        <w:numPr>
          <w:ilvl w:val="0"/>
          <w:numId w:val="14"/>
        </w:numPr>
        <w:autoSpaceDE w:val="0"/>
        <w:autoSpaceDN w:val="0"/>
        <w:adjustRightInd w:val="0"/>
        <w:spacing w:line="360" w:lineRule="auto"/>
        <w:ind w:firstLineChars="0"/>
        <w:rPr>
          <w:rFonts w:hint="eastAsia" w:ascii="宋体" w:hAnsi="宋体"/>
        </w:rPr>
      </w:pPr>
      <w:r>
        <w:rPr>
          <w:rFonts w:hint="eastAsia" w:ascii="宋体" w:hAnsi="宋体"/>
        </w:rPr>
        <w:t>本声明函必须提供且内容不得擅自删改，否则视为响应无效。</w:t>
      </w:r>
    </w:p>
    <w:p w14:paraId="5C708951">
      <w:pPr>
        <w:pStyle w:val="85"/>
        <w:numPr>
          <w:ilvl w:val="0"/>
          <w:numId w:val="14"/>
        </w:numPr>
        <w:snapToGrid w:val="0"/>
        <w:spacing w:line="360" w:lineRule="auto"/>
        <w:ind w:firstLineChars="0"/>
        <w:rPr>
          <w:rFonts w:hint="eastAsia" w:ascii="宋体" w:hAnsi="宋体"/>
          <w:szCs w:val="21"/>
        </w:rPr>
      </w:pPr>
      <w:r>
        <w:rPr>
          <w:rFonts w:hint="eastAsia" w:ascii="宋体" w:hAnsi="宋体"/>
          <w:szCs w:val="21"/>
        </w:rPr>
        <w:t>本声明函如有虚假或与事实不符的，作无效报价处理。</w:t>
      </w:r>
    </w:p>
    <w:p w14:paraId="6524DF2C">
      <w:pPr>
        <w:widowControl/>
        <w:spacing w:line="360" w:lineRule="auto"/>
        <w:jc w:val="left"/>
        <w:rPr>
          <w:rFonts w:hint="eastAsia" w:ascii="宋体" w:hAnsi="宋体"/>
          <w:b/>
          <w:bCs/>
          <w:kern w:val="0"/>
          <w:sz w:val="32"/>
          <w:szCs w:val="32"/>
        </w:rPr>
      </w:pPr>
    </w:p>
    <w:p w14:paraId="063EB169">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5B02FBB2">
      <w:pPr>
        <w:spacing w:line="360" w:lineRule="auto"/>
        <w:ind w:firstLine="105" w:firstLineChars="50"/>
        <w:jc w:val="right"/>
        <w:rPr>
          <w:rFonts w:hint="eastAsia" w:ascii="宋体" w:hAnsi="宋体"/>
          <w:szCs w:val="21"/>
          <w:u w:val="single"/>
        </w:rPr>
      </w:pPr>
    </w:p>
    <w:p w14:paraId="4BADF197">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7DAEBC73">
      <w:pPr>
        <w:spacing w:line="360" w:lineRule="auto"/>
        <w:rPr>
          <w:rFonts w:hint="eastAsia" w:ascii="宋体" w:hAnsi="宋体" w:cs="宋体"/>
          <w:b/>
          <w:kern w:val="0"/>
          <w:sz w:val="32"/>
          <w:szCs w:val="32"/>
        </w:rPr>
        <w:sectPr>
          <w:pgSz w:w="11906" w:h="16838"/>
          <w:pgMar w:top="1440" w:right="1800" w:bottom="1440" w:left="1800" w:header="851" w:footer="992" w:gutter="0"/>
          <w:cols w:space="720" w:num="1"/>
          <w:docGrid w:type="lines" w:linePitch="312" w:charSpace="0"/>
        </w:sectPr>
      </w:pPr>
    </w:p>
    <w:p w14:paraId="5D4C34B4">
      <w:pPr>
        <w:pStyle w:val="4"/>
        <w:spacing w:before="0" w:after="0"/>
        <w:jc w:val="center"/>
      </w:pPr>
      <w:r>
        <w:rPr>
          <w:rFonts w:hint="eastAsia"/>
        </w:rPr>
        <w:t>供应商资格声明函</w:t>
      </w:r>
    </w:p>
    <w:p w14:paraId="2794360B">
      <w:pPr>
        <w:rPr>
          <w:b/>
        </w:rPr>
      </w:pPr>
    </w:p>
    <w:p w14:paraId="78AE352A">
      <w:pPr>
        <w:rPr>
          <w:b/>
        </w:rPr>
      </w:pPr>
      <w:r>
        <w:rPr>
          <w:rFonts w:hint="eastAsia" w:ascii="宋体" w:hAnsi="宋体"/>
          <w:b/>
          <w:szCs w:val="21"/>
        </w:rPr>
        <w:t>致：</w:t>
      </w:r>
      <w:r>
        <w:rPr>
          <w:b/>
        </w:rPr>
        <w:t>深圳大学城</w:t>
      </w:r>
      <w:r>
        <w:rPr>
          <w:rFonts w:hint="eastAsia"/>
          <w:b/>
        </w:rPr>
        <w:t>图书馆</w:t>
      </w:r>
    </w:p>
    <w:p w14:paraId="4FEEC925">
      <w:pPr>
        <w:rPr>
          <w:b/>
        </w:rPr>
      </w:pPr>
    </w:p>
    <w:p w14:paraId="1B46505E">
      <w:pPr>
        <w:snapToGrid w:val="0"/>
        <w:spacing w:line="360" w:lineRule="auto"/>
        <w:ind w:firstLine="424" w:firstLineChars="202"/>
        <w:rPr>
          <w:rFonts w:hint="eastAsia" w:ascii="宋体" w:hAnsi="宋体"/>
        </w:rPr>
      </w:pPr>
      <w:r>
        <w:rPr>
          <w:rFonts w:hint="eastAsia" w:ascii="宋体" w:hAnsi="宋体"/>
          <w:szCs w:val="21"/>
        </w:rPr>
        <w:t>关于贵单位</w:t>
      </w:r>
      <w:r>
        <w:rPr>
          <w:rFonts w:hint="eastAsia" w:ascii="宋体" w:hAnsi="宋体"/>
        </w:rPr>
        <w:t>发布</w:t>
      </w:r>
      <w:r>
        <w:rPr>
          <w:rFonts w:hint="eastAsia" w:ascii="仿宋_GB2312" w:hAnsi="仿宋_GB2312"/>
          <w:b/>
          <w:bCs/>
          <w:szCs w:val="21"/>
          <w:u w:val="single"/>
        </w:rPr>
        <w:t xml:space="preserve">                        项目</w:t>
      </w:r>
      <w:r>
        <w:rPr>
          <w:rFonts w:hint="eastAsia" w:ascii="宋体" w:hAnsi="宋体"/>
        </w:rPr>
        <w:t>的采购公告，本公司（企业）愿意参加竞价，并声明：</w:t>
      </w:r>
    </w:p>
    <w:p w14:paraId="7C0ED019">
      <w:pPr>
        <w:snapToGrid w:val="0"/>
        <w:spacing w:line="360" w:lineRule="auto"/>
        <w:ind w:firstLine="420" w:firstLineChars="200"/>
        <w:rPr>
          <w:rFonts w:hint="eastAsia"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14:paraId="3188A652">
      <w:pPr>
        <w:widowControl/>
        <w:spacing w:line="360" w:lineRule="auto"/>
        <w:ind w:firstLine="360"/>
        <w:rPr>
          <w:rFonts w:hint="eastAsia" w:ascii="宋体" w:hAnsi="宋体" w:cs="宋体"/>
          <w:kern w:val="0"/>
          <w:szCs w:val="21"/>
        </w:rPr>
      </w:pPr>
      <w:r>
        <w:rPr>
          <w:rFonts w:hint="eastAsia" w:ascii="宋体" w:hAnsi="宋体" w:cs="宋体"/>
          <w:kern w:val="0"/>
          <w:szCs w:val="21"/>
        </w:rPr>
        <w:t>（一）具有独立承担民事责任的能力；</w:t>
      </w:r>
    </w:p>
    <w:p w14:paraId="4CEE31CD">
      <w:pPr>
        <w:widowControl/>
        <w:spacing w:line="360" w:lineRule="auto"/>
        <w:ind w:firstLine="360"/>
        <w:rPr>
          <w:rFonts w:hint="eastAsia"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14:paraId="25AA57F0">
      <w:pPr>
        <w:widowControl/>
        <w:spacing w:line="360" w:lineRule="auto"/>
        <w:ind w:firstLine="360"/>
        <w:rPr>
          <w:rFonts w:hint="eastAsia" w:ascii="宋体" w:hAnsi="宋体" w:cs="宋体"/>
          <w:kern w:val="0"/>
          <w:szCs w:val="21"/>
        </w:rPr>
      </w:pPr>
      <w:r>
        <w:rPr>
          <w:rFonts w:hint="eastAsia" w:ascii="宋体" w:hAnsi="宋体" w:cs="宋体"/>
          <w:kern w:val="0"/>
          <w:szCs w:val="21"/>
        </w:rPr>
        <w:t>（三）具有履行合同所必需的设备和专业技术能力；</w:t>
      </w:r>
    </w:p>
    <w:p w14:paraId="138FC5D5">
      <w:pPr>
        <w:widowControl/>
        <w:spacing w:line="360" w:lineRule="auto"/>
        <w:ind w:firstLine="360"/>
        <w:rPr>
          <w:rFonts w:hint="eastAsia" w:ascii="宋体" w:hAnsi="宋体" w:cs="宋体"/>
          <w:kern w:val="0"/>
          <w:szCs w:val="21"/>
        </w:rPr>
      </w:pPr>
      <w:r>
        <w:rPr>
          <w:rFonts w:hint="eastAsia" w:ascii="宋体" w:hAnsi="宋体" w:cs="宋体"/>
          <w:kern w:val="0"/>
          <w:szCs w:val="21"/>
        </w:rPr>
        <w:t>（四）有依法缴纳税收和社会保障资金的良好记录；</w:t>
      </w:r>
    </w:p>
    <w:p w14:paraId="7EBCA91B">
      <w:pPr>
        <w:widowControl/>
        <w:spacing w:line="360" w:lineRule="auto"/>
        <w:ind w:firstLine="360"/>
        <w:rPr>
          <w:rFonts w:hint="eastAsia" w:ascii="宋体" w:hAnsi="宋体" w:cs="宋体"/>
          <w:kern w:val="0"/>
          <w:szCs w:val="21"/>
        </w:rPr>
      </w:pPr>
      <w:r>
        <w:rPr>
          <w:rFonts w:hint="eastAsia" w:ascii="宋体" w:hAnsi="宋体" w:cs="宋体"/>
          <w:kern w:val="0"/>
          <w:szCs w:val="21"/>
        </w:rPr>
        <w:t>（五）参加政府采购活动前三年内，在经营活动中没有重大违法记录；</w:t>
      </w:r>
    </w:p>
    <w:p w14:paraId="4C91711D">
      <w:pPr>
        <w:widowControl/>
        <w:spacing w:line="360" w:lineRule="auto"/>
        <w:ind w:firstLine="360"/>
        <w:rPr>
          <w:rFonts w:hint="eastAsia" w:ascii="宋体" w:hAnsi="宋体" w:cs="宋体"/>
          <w:kern w:val="0"/>
          <w:szCs w:val="21"/>
        </w:rPr>
      </w:pPr>
      <w:r>
        <w:rPr>
          <w:rFonts w:hint="eastAsia" w:ascii="宋体" w:hAnsi="宋体" w:cs="宋体"/>
          <w:kern w:val="0"/>
          <w:szCs w:val="21"/>
        </w:rPr>
        <w:t>（六）法律、行政法规规定的其他条件。</w:t>
      </w:r>
    </w:p>
    <w:p w14:paraId="6014BA3E">
      <w:pPr>
        <w:snapToGrid w:val="0"/>
        <w:spacing w:line="360" w:lineRule="auto"/>
        <w:ind w:firstLine="424" w:firstLineChars="202"/>
        <w:rPr>
          <w:rFonts w:hint="eastAsia" w:ascii="宋体" w:hAnsi="宋体"/>
        </w:rPr>
      </w:pPr>
      <w:r>
        <w:rPr>
          <w:rFonts w:hint="eastAsia" w:ascii="宋体" w:hAnsi="宋体"/>
        </w:rPr>
        <w:t>二、本公司具有本次采购项目服务能力。</w:t>
      </w:r>
    </w:p>
    <w:p w14:paraId="4086134E">
      <w:pPr>
        <w:snapToGrid w:val="0"/>
        <w:spacing w:line="360" w:lineRule="auto"/>
        <w:ind w:firstLine="424" w:firstLineChars="202"/>
        <w:rPr>
          <w:rFonts w:hint="eastAsia" w:ascii="宋体" w:hAnsi="宋体"/>
        </w:rPr>
      </w:pPr>
      <w:r>
        <w:rPr>
          <w:rFonts w:hint="eastAsia" w:ascii="宋体" w:hAnsi="宋体"/>
        </w:rPr>
        <w:t>三、本公司有固定的经营场所，信誉良好、售后维护服务好，并且在经营活动中无严重违法记录。</w:t>
      </w:r>
    </w:p>
    <w:p w14:paraId="79561F4F">
      <w:pPr>
        <w:snapToGrid w:val="0"/>
        <w:spacing w:line="360" w:lineRule="auto"/>
        <w:ind w:firstLine="424" w:firstLineChars="202"/>
      </w:pPr>
      <w:r>
        <w:rPr>
          <w:rFonts w:hint="eastAsia"/>
        </w:rPr>
        <w:t>四、</w:t>
      </w:r>
      <w:r>
        <w:t>本公司在本项目中不转包分包且不联合竞价。</w:t>
      </w:r>
    </w:p>
    <w:p w14:paraId="7FD1747A">
      <w:pPr>
        <w:snapToGrid w:val="0"/>
        <w:spacing w:line="360" w:lineRule="auto"/>
        <w:ind w:firstLine="424" w:firstLineChars="202"/>
        <w:rPr>
          <w:rFonts w:hint="eastAsia" w:ascii="宋体" w:hAnsi="宋体"/>
        </w:rPr>
      </w:pPr>
      <w:r>
        <w:rPr>
          <w:rFonts w:hint="eastAsia" w:ascii="宋体" w:hAnsi="宋体"/>
        </w:rPr>
        <w:t>五、本公司近三年内无行贿犯罪记录。</w:t>
      </w:r>
    </w:p>
    <w:p w14:paraId="6144501D">
      <w:pPr>
        <w:snapToGrid w:val="0"/>
        <w:spacing w:line="360" w:lineRule="auto"/>
        <w:ind w:firstLine="424" w:firstLineChars="202"/>
        <w:rPr>
          <w:rFonts w:hint="eastAsia" w:ascii="宋体" w:hAnsi="宋体"/>
        </w:rPr>
      </w:pPr>
      <w:r>
        <w:rPr>
          <w:rFonts w:hint="eastAsia" w:ascii="宋体" w:hAnsi="宋体"/>
        </w:rPr>
        <w:t>本公司（企业）承诺在本次采购活动中，如有违法、违规、弄虚作假行为，所造成的损失、不良后果及法律责任，一律由我公司（企业）承担。</w:t>
      </w:r>
    </w:p>
    <w:p w14:paraId="0F8B62D9">
      <w:pPr>
        <w:snapToGrid w:val="0"/>
        <w:spacing w:line="360" w:lineRule="auto"/>
        <w:ind w:firstLine="424" w:firstLineChars="202"/>
        <w:rPr>
          <w:rFonts w:hint="eastAsia" w:ascii="宋体" w:hAnsi="宋体"/>
        </w:rPr>
      </w:pPr>
      <w:r>
        <w:rPr>
          <w:rFonts w:hint="eastAsia" w:ascii="宋体" w:hAnsi="宋体"/>
        </w:rPr>
        <w:t>特此声明！</w:t>
      </w:r>
    </w:p>
    <w:p w14:paraId="6C473A4D">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445F811D">
      <w:pPr>
        <w:pStyle w:val="85"/>
        <w:numPr>
          <w:ilvl w:val="0"/>
          <w:numId w:val="15"/>
        </w:numPr>
        <w:autoSpaceDE w:val="0"/>
        <w:autoSpaceDN w:val="0"/>
        <w:adjustRightInd w:val="0"/>
        <w:spacing w:after="78" w:line="360" w:lineRule="auto"/>
        <w:ind w:left="840" w:firstLineChars="0"/>
        <w:rPr>
          <w:rFonts w:hint="eastAsia" w:ascii="宋体" w:hAnsi="宋体"/>
        </w:rPr>
      </w:pPr>
      <w:r>
        <w:rPr>
          <w:rFonts w:hint="eastAsia" w:ascii="宋体" w:hAnsi="宋体"/>
        </w:rPr>
        <w:t>本声明函必须提供且内容不得擅自删改，否则视为响应无效。</w:t>
      </w:r>
    </w:p>
    <w:p w14:paraId="29C970B4">
      <w:pPr>
        <w:pStyle w:val="85"/>
        <w:numPr>
          <w:ilvl w:val="0"/>
          <w:numId w:val="15"/>
        </w:numPr>
        <w:snapToGrid w:val="0"/>
        <w:spacing w:after="78" w:line="360" w:lineRule="auto"/>
        <w:ind w:left="840" w:firstLineChars="0"/>
        <w:rPr>
          <w:rFonts w:hint="eastAsia" w:ascii="宋体" w:hAnsi="宋体"/>
          <w:szCs w:val="21"/>
        </w:rPr>
      </w:pPr>
      <w:r>
        <w:rPr>
          <w:rFonts w:hint="eastAsia" w:ascii="宋体" w:hAnsi="宋体"/>
          <w:szCs w:val="21"/>
        </w:rPr>
        <w:t>本声明函如有虚假或与事实不符的，作无效报价处理。</w:t>
      </w:r>
    </w:p>
    <w:p w14:paraId="60C1A2F4">
      <w:pPr>
        <w:spacing w:line="360" w:lineRule="auto"/>
        <w:jc w:val="right"/>
        <w:rPr>
          <w:u w:val="single"/>
        </w:rPr>
      </w:pPr>
      <w:r>
        <w:rPr>
          <w:rFonts w:hint="eastAsia"/>
          <w:u w:val="single"/>
        </w:rPr>
        <w:t xml:space="preserve">   </w:t>
      </w:r>
    </w:p>
    <w:p w14:paraId="11B447CC">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1AAC3823">
      <w:pPr>
        <w:spacing w:line="360" w:lineRule="auto"/>
        <w:ind w:firstLine="105" w:firstLineChars="50"/>
        <w:jc w:val="right"/>
        <w:rPr>
          <w:rFonts w:hint="eastAsia" w:ascii="宋体" w:hAnsi="宋体"/>
          <w:szCs w:val="21"/>
          <w:u w:val="single"/>
        </w:rPr>
      </w:pPr>
    </w:p>
    <w:p w14:paraId="6A38CA94">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5543D64A">
      <w:pPr>
        <w:spacing w:line="360" w:lineRule="auto"/>
        <w:jc w:val="right"/>
        <w:rPr>
          <w:u w:val="single"/>
        </w:rPr>
      </w:pPr>
      <w:r>
        <w:rPr>
          <w:rFonts w:hint="eastAsia"/>
          <w:u w:val="single"/>
        </w:rPr>
        <w:t xml:space="preserve"> </w:t>
      </w:r>
    </w:p>
    <w:p w14:paraId="78C00333">
      <w:pPr>
        <w:pStyle w:val="2"/>
      </w:pPr>
    </w:p>
    <w:p w14:paraId="605BCC70">
      <w:pPr>
        <w:pStyle w:val="40"/>
        <w:spacing w:before="0" w:after="0" w:line="360" w:lineRule="auto"/>
        <w:rPr>
          <w:lang w:val="zh-CN"/>
        </w:rPr>
        <w:sectPr>
          <w:pgSz w:w="11906" w:h="16838"/>
          <w:pgMar w:top="1440" w:right="1800" w:bottom="1440" w:left="1800" w:header="851" w:footer="992" w:gutter="0"/>
          <w:cols w:space="720" w:num="1"/>
          <w:docGrid w:type="lines" w:linePitch="312" w:charSpace="0"/>
        </w:sectPr>
      </w:pPr>
    </w:p>
    <w:p w14:paraId="6DE85861">
      <w:pPr>
        <w:pStyle w:val="40"/>
        <w:spacing w:before="0" w:after="0" w:line="360" w:lineRule="auto"/>
      </w:pPr>
      <w:r>
        <w:rPr>
          <w:rFonts w:hint="eastAsia"/>
          <w:lang w:val="zh-CN"/>
        </w:rPr>
        <w:t>第四章</w:t>
      </w:r>
      <w:r>
        <w:rPr>
          <w:rFonts w:hint="eastAsia"/>
        </w:rPr>
        <w:t xml:space="preserve"> </w:t>
      </w:r>
      <w:r>
        <w:rPr>
          <w:rFonts w:hint="eastAsia"/>
          <w:lang w:val="zh-CN"/>
        </w:rPr>
        <w:t>合同附件</w:t>
      </w:r>
    </w:p>
    <w:p w14:paraId="003831EA"/>
    <w:p w14:paraId="2E22051F">
      <w:pPr>
        <w:jc w:val="center"/>
        <w:outlineLvl w:val="0"/>
        <w:rPr>
          <w:rFonts w:hint="eastAsia" w:ascii="宋体" w:hAnsi="宋体" w:eastAsia="宋体" w:cs="宋体"/>
          <w:sz w:val="21"/>
          <w:szCs w:val="21"/>
        </w:rPr>
      </w:pPr>
      <w:r>
        <w:rPr>
          <w:rFonts w:hint="eastAsia" w:ascii="宋体" w:hAnsi="宋体" w:eastAsia="宋体" w:cs="宋体"/>
          <w:b/>
          <w:sz w:val="21"/>
          <w:szCs w:val="21"/>
        </w:rPr>
        <w:t>（仅供参考，具体以项目需求及采购结果为准）</w:t>
      </w:r>
    </w:p>
    <w:p w14:paraId="73A94A6F">
      <w:pPr>
        <w:tabs>
          <w:tab w:val="left" w:pos="3840"/>
          <w:tab w:val="left" w:pos="7320"/>
        </w:tabs>
        <w:spacing w:line="360" w:lineRule="auto"/>
        <w:ind w:right="960" w:firstLine="5670" w:firstLineChars="2700"/>
        <w:rPr>
          <w:rFonts w:hint="eastAsia" w:ascii="宋体" w:hAnsi="宋体" w:eastAsia="宋体" w:cs="宋体"/>
          <w:sz w:val="21"/>
          <w:szCs w:val="21"/>
        </w:rPr>
      </w:pPr>
      <w:r>
        <w:rPr>
          <w:rFonts w:hint="eastAsia" w:ascii="宋体" w:hAnsi="宋体" w:eastAsia="宋体" w:cs="宋体"/>
          <w:sz w:val="21"/>
          <w:szCs w:val="21"/>
        </w:rPr>
        <w:t xml:space="preserve">   </w:t>
      </w:r>
    </w:p>
    <w:p w14:paraId="742648B4">
      <w:pPr>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深圳大学城图书馆</w:t>
      </w:r>
      <w:r>
        <w:rPr>
          <w:rFonts w:hint="eastAsia" w:ascii="宋体" w:hAnsi="宋体" w:eastAsia="宋体" w:cs="宋体"/>
          <w:sz w:val="21"/>
          <w:szCs w:val="21"/>
          <w:lang w:val="en-US" w:eastAsia="zh-CN"/>
        </w:rPr>
        <w:t>饮水机维护保养服务</w:t>
      </w:r>
      <w:r>
        <w:rPr>
          <w:rFonts w:hint="eastAsia" w:ascii="宋体" w:hAnsi="宋体" w:eastAsia="宋体" w:cs="宋体"/>
          <w:sz w:val="21"/>
          <w:szCs w:val="21"/>
        </w:rPr>
        <w:t>合同</w:t>
      </w:r>
    </w:p>
    <w:p w14:paraId="51DC0E2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甲方：深圳大学城图书馆</w:t>
      </w:r>
    </w:p>
    <w:p w14:paraId="6E817EC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w:t>
      </w:r>
    </w:p>
    <w:p w14:paraId="082E8ED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联系人： </w:t>
      </w:r>
    </w:p>
    <w:p w14:paraId="1FCC7C8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联系方式：</w:t>
      </w:r>
    </w:p>
    <w:p w14:paraId="09C075F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地址：广东省深圳市南山区桃源街道西丽丽水路2239号</w:t>
      </w:r>
    </w:p>
    <w:p w14:paraId="3D4B9D2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乙方：  </w:t>
      </w:r>
    </w:p>
    <w:p w14:paraId="5DC4C69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法定代表人： </w:t>
      </w:r>
    </w:p>
    <w:p w14:paraId="01D2E41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联系人：  </w:t>
      </w:r>
    </w:p>
    <w:p w14:paraId="288416A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联系方式： </w:t>
      </w:r>
    </w:p>
    <w:p w14:paraId="3503B1D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地址：  </w:t>
      </w:r>
    </w:p>
    <w:p w14:paraId="6FAE7B0D">
      <w:pPr>
        <w:pStyle w:val="2"/>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根据《中华人民共和国民法典》及有关规定，乙方根据甲方要求并结合甲方的实际情况向甲方提供深圳大学城图书馆饮水机维护保养服务项目，经双方协商一致，签订本合同，以资共同遵守。</w:t>
      </w:r>
    </w:p>
    <w:p w14:paraId="48251910">
      <w:pPr>
        <w:pStyle w:val="2"/>
        <w:spacing w:line="24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一、项目概况</w:t>
      </w:r>
    </w:p>
    <w:p w14:paraId="09F302C2">
      <w:pPr>
        <w:pStyle w:val="2"/>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 深圳大学城图书馆饮水机维护保养服务项目</w:t>
      </w:r>
    </w:p>
    <w:p w14:paraId="03B6F474">
      <w:pPr>
        <w:pStyle w:val="2"/>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项目地点：深圳大学城图书馆                       </w:t>
      </w:r>
      <w:r>
        <w:rPr>
          <w:rFonts w:hint="eastAsia" w:ascii="宋体" w:hAnsi="宋体" w:eastAsia="宋体" w:cs="宋体"/>
          <w:sz w:val="21"/>
          <w:szCs w:val="21"/>
        </w:rPr>
        <w:t xml:space="preserve"> </w:t>
      </w:r>
    </w:p>
    <w:p w14:paraId="27E12AA1">
      <w:pPr>
        <w:numPr>
          <w:ilvl w:val="0"/>
          <w:numId w:val="0"/>
        </w:num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合同金额及支付</w:t>
      </w:r>
    </w:p>
    <w:p w14:paraId="2723C813">
      <w:pPr>
        <w:pStyle w:val="2"/>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2.1合同金额（含税价）</w:t>
      </w:r>
    </w:p>
    <w:p w14:paraId="71022D3A">
      <w:pPr>
        <w:pStyle w:val="2"/>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双方确认，本合同服务总金额为¥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元（大写金额：</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人民币元整）。</w:t>
      </w:r>
    </w:p>
    <w:p w14:paraId="214EBBB5">
      <w:pPr>
        <w:pStyle w:val="2"/>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2.2付款时间和方式</w:t>
      </w:r>
    </w:p>
    <w:p w14:paraId="4BA2A789">
      <w:pPr>
        <w:pStyle w:val="2"/>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签定后，收到乙方开具的合法有效的发票15个工作日内向乙方支付50%的合同款。服务期结束，依据《服务商履约情况说明》进行项目验收，合格后向乙方支付50%的合同款。因国库集中支付等财政资金支付程序或政策导致的迟延付款，不必承担违约责任。</w:t>
      </w:r>
    </w:p>
    <w:p w14:paraId="155B8AF3">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2.3乙方账户信息</w:t>
      </w:r>
    </w:p>
    <w:p w14:paraId="05092BE4">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开户行： </w:t>
      </w:r>
    </w:p>
    <w:p w14:paraId="0F40ADF4">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账号：</w:t>
      </w:r>
    </w:p>
    <w:p w14:paraId="6E6561D9">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户名： </w:t>
      </w:r>
    </w:p>
    <w:p w14:paraId="57C15FEF">
      <w:pPr>
        <w:numPr>
          <w:ilvl w:val="0"/>
          <w:numId w:val="0"/>
        </w:numPr>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三、服务内容</w:t>
      </w:r>
    </w:p>
    <w:p w14:paraId="139DDA42">
      <w:pPr>
        <w:pStyle w:val="2"/>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3.1服务期限：自2024年 月 日至2025年 月 日，服务期为一年。本项目为长期服务类项目，合同期满前30个工作日可根据服务单位履约情况（履约评价良好及以上的），可考虑续签合同，合同一年一签，最长不超过三年。如甲方对履约情况不满意，甲方不再续约。</w:t>
      </w:r>
    </w:p>
    <w:p w14:paraId="7C1A8BCE">
      <w:pPr>
        <w:pStyle w:val="2"/>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图书馆饮水机现有9台品牌为“贺众牌”、机型为“UR-313AS-3”的饮水机，分布在图书馆二楼、三楼、四楼，共有9台设备。本项目采购针对深圳大学城图书馆内9台饮水设备为期一年的现场维护保养服务。甲方和乙方经友好协商，就甲方所有的品牌为“贺众牌”、机型为“UR-313AS-3”的饮水机9台，交由乙方维护、保养、修理。</w:t>
      </w:r>
    </w:p>
    <w:p w14:paraId="76061C5C">
      <w:pPr>
        <w:pStyle w:val="2"/>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3.3乙方应指派专业人员按月调整、更换、修理，包括外表的维护保养工作。在服务期内，乙方对甲方提供规定工作时间周一至周五8：30-17：30（法定节假日除外）保养服务。服务包括上门维护、现场响应服务和零部件保修更换，并向甲方递交详细的维修报告。如甲方发现有机器故障时，乙方应在4小时内响应，8小时内上门，48小时内未解决故障的应提供备机。在维保过程中，需及时和甲方沟通。如需更换饮水机损坏零部件，所需费用应与甲方申报协商。所使用的设备、配件、耗材必需符合国家标准，且取得合格证书产品</w:t>
      </w:r>
      <w:r>
        <w:rPr>
          <w:rFonts w:hint="eastAsia" w:ascii="宋体" w:hAnsi="宋体" w:cs="宋体"/>
          <w:color w:val="auto"/>
          <w:sz w:val="21"/>
          <w:szCs w:val="21"/>
          <w:lang w:val="en-US" w:eastAsia="zh-CN"/>
        </w:rPr>
        <w:t>，</w:t>
      </w:r>
      <w:r>
        <w:rPr>
          <w:rFonts w:hint="eastAsia" w:ascii="宋体" w:hAnsi="宋体" w:cs="宋体"/>
          <w:color w:val="auto"/>
          <w:kern w:val="0"/>
          <w:sz w:val="21"/>
          <w:szCs w:val="21"/>
          <w:lang w:val="en-US" w:eastAsia="zh-CN"/>
        </w:rPr>
        <w:t>保证</w:t>
      </w:r>
      <w:r>
        <w:rPr>
          <w:rFonts w:hint="eastAsia" w:ascii="宋体" w:hAnsi="宋体" w:eastAsia="宋体" w:cs="宋体"/>
          <w:color w:val="auto"/>
          <w:sz w:val="21"/>
          <w:szCs w:val="21"/>
        </w:rPr>
        <w:t>原装正品</w:t>
      </w:r>
      <w:r>
        <w:rPr>
          <w:rFonts w:hint="eastAsia" w:ascii="宋体" w:hAnsi="宋体" w:cs="宋体"/>
          <w:color w:val="auto"/>
          <w:sz w:val="21"/>
          <w:szCs w:val="21"/>
          <w:lang w:eastAsia="zh-CN"/>
        </w:rPr>
        <w:t>。</w:t>
      </w:r>
    </w:p>
    <w:p w14:paraId="215E651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3.4</w:t>
      </w:r>
      <w:r>
        <w:rPr>
          <w:rFonts w:hint="eastAsia" w:ascii="宋体" w:hAnsi="宋体" w:eastAsia="宋体" w:cs="宋体"/>
          <w:sz w:val="21"/>
          <w:szCs w:val="21"/>
        </w:rPr>
        <w:t>（二）更换滤材、耗材部分（按每台</w:t>
      </w:r>
      <w:r>
        <w:rPr>
          <w:rFonts w:hint="eastAsia" w:ascii="宋体" w:hAnsi="宋体" w:eastAsia="宋体" w:cs="宋体"/>
          <w:sz w:val="21"/>
          <w:szCs w:val="21"/>
          <w:lang w:val="en-US" w:eastAsia="zh-CN"/>
        </w:rPr>
        <w:t>设备</w:t>
      </w:r>
      <w:r>
        <w:rPr>
          <w:rFonts w:hint="eastAsia" w:ascii="宋体" w:hAnsi="宋体" w:eastAsia="宋体" w:cs="宋体"/>
          <w:sz w:val="21"/>
          <w:szCs w:val="21"/>
        </w:rPr>
        <w:t>每年使用量计算）。</w:t>
      </w:r>
    </w:p>
    <w:tbl>
      <w:tblPr>
        <w:tblStyle w:val="43"/>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126"/>
        <w:gridCol w:w="709"/>
        <w:gridCol w:w="1276"/>
        <w:gridCol w:w="4932"/>
      </w:tblGrid>
      <w:tr w14:paraId="6E9B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97" w:type="dxa"/>
            <w:noWrap w:val="0"/>
            <w:vAlign w:val="center"/>
          </w:tcPr>
          <w:p w14:paraId="51EAC8EC">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序号</w:t>
            </w:r>
          </w:p>
        </w:tc>
        <w:tc>
          <w:tcPr>
            <w:tcW w:w="2126" w:type="dxa"/>
            <w:noWrap w:val="0"/>
            <w:vAlign w:val="center"/>
          </w:tcPr>
          <w:p w14:paraId="4FE0ABAA">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项目名称</w:t>
            </w:r>
          </w:p>
        </w:tc>
        <w:tc>
          <w:tcPr>
            <w:tcW w:w="709" w:type="dxa"/>
            <w:noWrap w:val="0"/>
            <w:vAlign w:val="center"/>
          </w:tcPr>
          <w:p w14:paraId="3925B411">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单位</w:t>
            </w:r>
          </w:p>
        </w:tc>
        <w:tc>
          <w:tcPr>
            <w:tcW w:w="1276" w:type="dxa"/>
            <w:noWrap w:val="0"/>
            <w:vAlign w:val="center"/>
          </w:tcPr>
          <w:p w14:paraId="4403E7DF">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工程数量</w:t>
            </w:r>
          </w:p>
        </w:tc>
        <w:tc>
          <w:tcPr>
            <w:tcW w:w="4932" w:type="dxa"/>
            <w:noWrap w:val="0"/>
            <w:vAlign w:val="center"/>
          </w:tcPr>
          <w:p w14:paraId="23AB488C">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备注</w:t>
            </w:r>
          </w:p>
        </w:tc>
      </w:tr>
      <w:tr w14:paraId="7784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97" w:type="dxa"/>
            <w:noWrap w:val="0"/>
            <w:vAlign w:val="center"/>
          </w:tcPr>
          <w:p w14:paraId="6F6CD26F">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w:t>
            </w:r>
          </w:p>
        </w:tc>
        <w:tc>
          <w:tcPr>
            <w:tcW w:w="2126" w:type="dxa"/>
            <w:noWrap w:val="0"/>
            <w:vAlign w:val="center"/>
          </w:tcPr>
          <w:p w14:paraId="4E0AC82D">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更换UF-61滤芯</w:t>
            </w:r>
          </w:p>
        </w:tc>
        <w:tc>
          <w:tcPr>
            <w:tcW w:w="709" w:type="dxa"/>
            <w:noWrap w:val="0"/>
            <w:vAlign w:val="center"/>
          </w:tcPr>
          <w:p w14:paraId="0C6B9829">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支</w:t>
            </w:r>
          </w:p>
        </w:tc>
        <w:tc>
          <w:tcPr>
            <w:tcW w:w="1276" w:type="dxa"/>
            <w:noWrap w:val="0"/>
            <w:vAlign w:val="center"/>
          </w:tcPr>
          <w:p w14:paraId="59D70163">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12</w:t>
            </w:r>
          </w:p>
        </w:tc>
        <w:tc>
          <w:tcPr>
            <w:tcW w:w="4932" w:type="dxa"/>
            <w:noWrap w:val="0"/>
            <w:vAlign w:val="center"/>
          </w:tcPr>
          <w:p w14:paraId="0CB5B24A">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第一道滤芯,1个月更换一次</w:t>
            </w:r>
          </w:p>
        </w:tc>
      </w:tr>
      <w:tr w14:paraId="3670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97" w:type="dxa"/>
            <w:noWrap w:val="0"/>
            <w:vAlign w:val="center"/>
          </w:tcPr>
          <w:p w14:paraId="08962EF2">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p>
        </w:tc>
        <w:tc>
          <w:tcPr>
            <w:tcW w:w="2126" w:type="dxa"/>
            <w:noWrap w:val="0"/>
            <w:vAlign w:val="center"/>
          </w:tcPr>
          <w:p w14:paraId="44E89A60">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更换UF-62滤芯</w:t>
            </w:r>
          </w:p>
        </w:tc>
        <w:tc>
          <w:tcPr>
            <w:tcW w:w="709" w:type="dxa"/>
            <w:noWrap w:val="0"/>
            <w:vAlign w:val="center"/>
          </w:tcPr>
          <w:p w14:paraId="5CABD627">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支</w:t>
            </w:r>
          </w:p>
        </w:tc>
        <w:tc>
          <w:tcPr>
            <w:tcW w:w="1276" w:type="dxa"/>
            <w:noWrap w:val="0"/>
            <w:vAlign w:val="center"/>
          </w:tcPr>
          <w:p w14:paraId="68F9DE7E">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6</w:t>
            </w:r>
          </w:p>
        </w:tc>
        <w:tc>
          <w:tcPr>
            <w:tcW w:w="4932" w:type="dxa"/>
            <w:noWrap w:val="0"/>
            <w:vAlign w:val="center"/>
          </w:tcPr>
          <w:p w14:paraId="479E3B60">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第二道滤芯,2个月更换一次</w:t>
            </w:r>
          </w:p>
        </w:tc>
      </w:tr>
      <w:tr w14:paraId="5279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97" w:type="dxa"/>
            <w:noWrap w:val="0"/>
            <w:vAlign w:val="center"/>
          </w:tcPr>
          <w:p w14:paraId="7DD4A964">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3</w:t>
            </w:r>
          </w:p>
        </w:tc>
        <w:tc>
          <w:tcPr>
            <w:tcW w:w="2126" w:type="dxa"/>
            <w:noWrap w:val="0"/>
            <w:vAlign w:val="center"/>
          </w:tcPr>
          <w:p w14:paraId="4BB3CFB0">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更换UF-63滤芯</w:t>
            </w:r>
          </w:p>
        </w:tc>
        <w:tc>
          <w:tcPr>
            <w:tcW w:w="709" w:type="dxa"/>
            <w:noWrap w:val="0"/>
            <w:vAlign w:val="center"/>
          </w:tcPr>
          <w:p w14:paraId="2AB0E71D">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支</w:t>
            </w:r>
          </w:p>
        </w:tc>
        <w:tc>
          <w:tcPr>
            <w:tcW w:w="1276" w:type="dxa"/>
            <w:noWrap w:val="0"/>
            <w:vAlign w:val="center"/>
          </w:tcPr>
          <w:p w14:paraId="0D908FD8">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4</w:t>
            </w:r>
          </w:p>
        </w:tc>
        <w:tc>
          <w:tcPr>
            <w:tcW w:w="4932" w:type="dxa"/>
            <w:noWrap w:val="0"/>
            <w:vAlign w:val="center"/>
          </w:tcPr>
          <w:p w14:paraId="62116FDE">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第三道滤芯,3个月更换一次</w:t>
            </w:r>
          </w:p>
        </w:tc>
      </w:tr>
      <w:tr w14:paraId="4155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97" w:type="dxa"/>
            <w:noWrap w:val="0"/>
            <w:vAlign w:val="center"/>
          </w:tcPr>
          <w:p w14:paraId="456B7FDE">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4</w:t>
            </w:r>
          </w:p>
        </w:tc>
        <w:tc>
          <w:tcPr>
            <w:tcW w:w="2126" w:type="dxa"/>
            <w:noWrap w:val="0"/>
            <w:vAlign w:val="center"/>
          </w:tcPr>
          <w:p w14:paraId="3573E05B">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更换UF-53反渗透膜</w:t>
            </w:r>
          </w:p>
        </w:tc>
        <w:tc>
          <w:tcPr>
            <w:tcW w:w="709" w:type="dxa"/>
            <w:noWrap w:val="0"/>
            <w:vAlign w:val="center"/>
          </w:tcPr>
          <w:p w14:paraId="42823393">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支</w:t>
            </w:r>
          </w:p>
        </w:tc>
        <w:tc>
          <w:tcPr>
            <w:tcW w:w="1276" w:type="dxa"/>
            <w:noWrap w:val="0"/>
            <w:vAlign w:val="center"/>
          </w:tcPr>
          <w:p w14:paraId="7192C088">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p>
        </w:tc>
        <w:tc>
          <w:tcPr>
            <w:tcW w:w="4932" w:type="dxa"/>
            <w:noWrap w:val="0"/>
            <w:vAlign w:val="center"/>
          </w:tcPr>
          <w:p w14:paraId="010E67C3">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第四道滤芯,12个月更换一次</w:t>
            </w:r>
          </w:p>
        </w:tc>
      </w:tr>
      <w:tr w14:paraId="5D58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97" w:type="dxa"/>
            <w:noWrap w:val="0"/>
            <w:vAlign w:val="center"/>
          </w:tcPr>
          <w:p w14:paraId="2613F021">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5</w:t>
            </w:r>
          </w:p>
        </w:tc>
        <w:tc>
          <w:tcPr>
            <w:tcW w:w="2126" w:type="dxa"/>
            <w:noWrap w:val="0"/>
            <w:vAlign w:val="center"/>
          </w:tcPr>
          <w:p w14:paraId="39A22DF1">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更换UF-21滤芯</w:t>
            </w:r>
          </w:p>
        </w:tc>
        <w:tc>
          <w:tcPr>
            <w:tcW w:w="709" w:type="dxa"/>
            <w:noWrap w:val="0"/>
            <w:vAlign w:val="center"/>
          </w:tcPr>
          <w:p w14:paraId="68F174CA">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支</w:t>
            </w:r>
          </w:p>
        </w:tc>
        <w:tc>
          <w:tcPr>
            <w:tcW w:w="1276" w:type="dxa"/>
            <w:noWrap w:val="0"/>
            <w:vAlign w:val="center"/>
          </w:tcPr>
          <w:p w14:paraId="2AC6AC01">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p>
        </w:tc>
        <w:tc>
          <w:tcPr>
            <w:tcW w:w="4932" w:type="dxa"/>
            <w:noWrap w:val="0"/>
            <w:vAlign w:val="center"/>
          </w:tcPr>
          <w:p w14:paraId="66E03F0E">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第五道滤芯,6个月更换一次</w:t>
            </w:r>
          </w:p>
        </w:tc>
      </w:tr>
      <w:tr w14:paraId="1EAC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97" w:type="dxa"/>
            <w:noWrap w:val="0"/>
            <w:vAlign w:val="center"/>
          </w:tcPr>
          <w:p w14:paraId="51413970">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6</w:t>
            </w:r>
          </w:p>
        </w:tc>
        <w:tc>
          <w:tcPr>
            <w:tcW w:w="2126" w:type="dxa"/>
            <w:noWrap w:val="0"/>
            <w:vAlign w:val="center"/>
          </w:tcPr>
          <w:p w14:paraId="7B479CA5">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饮水机清缸消毒</w:t>
            </w:r>
          </w:p>
        </w:tc>
        <w:tc>
          <w:tcPr>
            <w:tcW w:w="709" w:type="dxa"/>
            <w:noWrap w:val="0"/>
            <w:vAlign w:val="center"/>
          </w:tcPr>
          <w:p w14:paraId="10B695A5">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台</w:t>
            </w:r>
          </w:p>
        </w:tc>
        <w:tc>
          <w:tcPr>
            <w:tcW w:w="1276" w:type="dxa"/>
            <w:noWrap w:val="0"/>
            <w:vAlign w:val="center"/>
          </w:tcPr>
          <w:p w14:paraId="3B0FECAD">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w:t>
            </w:r>
          </w:p>
        </w:tc>
        <w:tc>
          <w:tcPr>
            <w:tcW w:w="4932" w:type="dxa"/>
            <w:noWrap w:val="0"/>
            <w:vAlign w:val="center"/>
          </w:tcPr>
          <w:p w14:paraId="3A5B1300">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12个月清洗一次</w:t>
            </w:r>
          </w:p>
        </w:tc>
      </w:tr>
      <w:tr w14:paraId="44D0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97" w:type="dxa"/>
            <w:noWrap w:val="0"/>
            <w:vAlign w:val="center"/>
          </w:tcPr>
          <w:p w14:paraId="056FD040">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7</w:t>
            </w:r>
          </w:p>
        </w:tc>
        <w:tc>
          <w:tcPr>
            <w:tcW w:w="2126" w:type="dxa"/>
            <w:noWrap w:val="0"/>
            <w:vAlign w:val="center"/>
          </w:tcPr>
          <w:p w14:paraId="6571F1EC">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水质检测费</w:t>
            </w:r>
          </w:p>
        </w:tc>
        <w:tc>
          <w:tcPr>
            <w:tcW w:w="709" w:type="dxa"/>
            <w:noWrap w:val="0"/>
            <w:vAlign w:val="center"/>
          </w:tcPr>
          <w:p w14:paraId="1555E423">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份</w:t>
            </w:r>
          </w:p>
        </w:tc>
        <w:tc>
          <w:tcPr>
            <w:tcW w:w="1276" w:type="dxa"/>
            <w:noWrap w:val="0"/>
            <w:vAlign w:val="center"/>
          </w:tcPr>
          <w:p w14:paraId="3D7DA466">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w:t>
            </w:r>
          </w:p>
        </w:tc>
        <w:tc>
          <w:tcPr>
            <w:tcW w:w="4932" w:type="dxa"/>
            <w:noWrap w:val="0"/>
            <w:vAlign w:val="center"/>
          </w:tcPr>
          <w:p w14:paraId="542E0111">
            <w:pPr>
              <w:spacing w:line="240" w:lineRule="auto"/>
              <w:jc w:val="center"/>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水质检测的项目包括：细菌总数、总大肠菌群、粪大肠菌群、色度、浑浊度、臭和味、肉眼可见物，并出具相关检测报告。</w:t>
            </w:r>
          </w:p>
        </w:tc>
      </w:tr>
    </w:tbl>
    <w:p w14:paraId="66D34A1A">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3.5乙方保证提供的上述设备不侵犯任何第三方的知识产权，否则乙方应承担甲方因此遭受的所有经济损失，若因此与第三方发生法律纠纷的，乙方应负责处理一切相关事宜并承担所有费用。</w:t>
      </w:r>
    </w:p>
    <w:p w14:paraId="5A2CB0F7">
      <w:pPr>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四、违约与终止</w:t>
      </w:r>
    </w:p>
    <w:p w14:paraId="223BB978">
      <w:pPr>
        <w:spacing w:line="276"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r>
        <w:rPr>
          <w:rFonts w:hint="eastAsia" w:ascii="宋体" w:hAnsi="宋体" w:eastAsia="宋体" w:cs="宋体"/>
          <w:b w:val="0"/>
          <w:bCs w:val="0"/>
          <w:color w:val="auto"/>
          <w:szCs w:val="21"/>
          <w:lang w:eastAsia="zh-CN"/>
        </w:rPr>
        <w:t>任一方</w:t>
      </w:r>
      <w:r>
        <w:rPr>
          <w:rFonts w:hint="eastAsia" w:ascii="宋体" w:hAnsi="宋体" w:cs="宋体"/>
          <w:b w:val="0"/>
          <w:bCs w:val="0"/>
          <w:color w:val="auto"/>
          <w:szCs w:val="21"/>
          <w:lang w:val="en-US" w:eastAsia="zh-CN"/>
        </w:rPr>
        <w:t>提出解除</w:t>
      </w:r>
      <w:r>
        <w:rPr>
          <w:rFonts w:hint="eastAsia" w:ascii="宋体" w:hAnsi="宋体" w:eastAsia="宋体" w:cs="宋体"/>
          <w:b w:val="0"/>
          <w:bCs w:val="0"/>
          <w:color w:val="auto"/>
          <w:szCs w:val="21"/>
          <w:lang w:eastAsia="zh-CN"/>
        </w:rPr>
        <w:t>合同</w:t>
      </w:r>
      <w:r>
        <w:rPr>
          <w:rFonts w:hint="eastAsia" w:ascii="宋体" w:hAnsi="宋体" w:cs="宋体"/>
          <w:b w:val="0"/>
          <w:bCs w:val="0"/>
          <w:color w:val="auto"/>
          <w:szCs w:val="21"/>
          <w:lang w:val="en-US" w:eastAsia="zh-CN"/>
        </w:rPr>
        <w:t>的</w:t>
      </w:r>
      <w:r>
        <w:rPr>
          <w:rFonts w:hint="eastAsia" w:ascii="宋体" w:hAnsi="宋体" w:eastAsia="宋体" w:cs="宋体"/>
          <w:b w:val="0"/>
          <w:bCs w:val="0"/>
          <w:color w:val="auto"/>
          <w:szCs w:val="21"/>
          <w:lang w:eastAsia="zh-CN"/>
        </w:rPr>
        <w:t>，应</w:t>
      </w:r>
      <w:r>
        <w:rPr>
          <w:rFonts w:hint="eastAsia" w:ascii="宋体" w:hAnsi="宋体" w:cs="宋体"/>
          <w:b w:val="0"/>
          <w:bCs w:val="0"/>
          <w:color w:val="auto"/>
          <w:szCs w:val="21"/>
          <w:lang w:val="en-US" w:eastAsia="zh-CN"/>
        </w:rPr>
        <w:t>当</w:t>
      </w:r>
      <w:r>
        <w:rPr>
          <w:rFonts w:hint="eastAsia" w:ascii="宋体" w:hAnsi="宋体" w:eastAsia="宋体" w:cs="宋体"/>
          <w:b w:val="0"/>
          <w:bCs w:val="0"/>
          <w:color w:val="auto"/>
          <w:szCs w:val="21"/>
          <w:lang w:eastAsia="zh-CN"/>
        </w:rPr>
        <w:t>提前30日</w:t>
      </w:r>
      <w:r>
        <w:rPr>
          <w:rFonts w:hint="eastAsia" w:ascii="宋体" w:hAnsi="宋体" w:cs="宋体"/>
          <w:b w:val="0"/>
          <w:bCs w:val="0"/>
          <w:color w:val="auto"/>
          <w:szCs w:val="21"/>
          <w:lang w:val="en-US" w:eastAsia="zh-CN"/>
        </w:rPr>
        <w:t>以</w:t>
      </w:r>
      <w:r>
        <w:rPr>
          <w:rFonts w:hint="eastAsia" w:ascii="宋体" w:hAnsi="宋体" w:eastAsia="宋体" w:cs="宋体"/>
          <w:b w:val="0"/>
          <w:bCs w:val="0"/>
          <w:color w:val="auto"/>
          <w:szCs w:val="21"/>
          <w:lang w:eastAsia="zh-CN"/>
        </w:rPr>
        <w:t>书面</w:t>
      </w:r>
      <w:r>
        <w:rPr>
          <w:rFonts w:hint="eastAsia" w:ascii="宋体" w:hAnsi="宋体" w:cs="宋体"/>
          <w:b w:val="0"/>
          <w:bCs w:val="0"/>
          <w:color w:val="auto"/>
          <w:szCs w:val="21"/>
          <w:lang w:val="en-US" w:eastAsia="zh-CN"/>
        </w:rPr>
        <w:t>形式</w:t>
      </w:r>
      <w:r>
        <w:rPr>
          <w:rFonts w:hint="eastAsia" w:ascii="宋体" w:hAnsi="宋体" w:eastAsia="宋体" w:cs="宋体"/>
          <w:b w:val="0"/>
          <w:bCs w:val="0"/>
          <w:color w:val="auto"/>
          <w:szCs w:val="21"/>
          <w:lang w:eastAsia="zh-CN"/>
        </w:rPr>
        <w:t>通知</w:t>
      </w:r>
      <w:r>
        <w:rPr>
          <w:rFonts w:hint="eastAsia" w:ascii="宋体" w:hAnsi="宋体" w:cs="宋体"/>
          <w:b w:val="0"/>
          <w:bCs w:val="0"/>
          <w:color w:val="auto"/>
          <w:szCs w:val="21"/>
          <w:lang w:val="en-US" w:eastAsia="zh-CN"/>
        </w:rPr>
        <w:t>相</w:t>
      </w:r>
      <w:r>
        <w:rPr>
          <w:rFonts w:hint="eastAsia" w:ascii="宋体" w:hAnsi="宋体" w:eastAsia="宋体" w:cs="宋体"/>
          <w:b w:val="0"/>
          <w:bCs w:val="0"/>
          <w:color w:val="auto"/>
          <w:szCs w:val="21"/>
          <w:lang w:eastAsia="zh-CN"/>
        </w:rPr>
        <w:t>对方。</w:t>
      </w:r>
    </w:p>
    <w:p w14:paraId="37E50813">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在合同的履行过程中，乙方必须按照合同约定履行义务，若乙方违反了合同的约定，或不承担或不及时、充分地承担本合同项下其应承担的义务即构成违约行为，甲方有权以书面通知要求乙方纠正其违约行为并采取充分、有效、</w:t>
      </w:r>
      <w:bookmarkStart w:id="3" w:name="_GoBack"/>
      <w:bookmarkEnd w:id="3"/>
      <w:r>
        <w:rPr>
          <w:rFonts w:hint="eastAsia" w:ascii="宋体" w:hAnsi="宋体" w:eastAsia="宋体" w:cs="宋体"/>
          <w:sz w:val="21"/>
          <w:szCs w:val="21"/>
          <w:lang w:val="en-US" w:eastAsia="zh-CN"/>
        </w:rPr>
        <w:t>及时的措施消除违约后果。若乙方在收到甲方关于其违约行为的上述通知后十个工作日内未纠正其违约行为，甲方有权以书面通知的方式单方提前终止本合同，</w:t>
      </w:r>
      <w:r>
        <w:rPr>
          <w:rFonts w:hint="eastAsia" w:ascii="宋体" w:hAnsi="宋体" w:eastAsia="宋体" w:cs="宋体"/>
          <w:b w:val="0"/>
          <w:bCs w:val="0"/>
          <w:sz w:val="21"/>
          <w:szCs w:val="21"/>
          <w:lang w:val="en-US" w:eastAsia="zh-CN"/>
        </w:rPr>
        <w:t>乙方</w:t>
      </w:r>
      <w:r>
        <w:rPr>
          <w:rFonts w:hint="eastAsia" w:ascii="宋体" w:hAnsi="宋体" w:eastAsia="宋体" w:cs="宋体"/>
          <w:b w:val="0"/>
          <w:bCs w:val="0"/>
          <w:sz w:val="21"/>
          <w:szCs w:val="21"/>
          <w:lang w:eastAsia="zh-CN"/>
        </w:rPr>
        <w:t>须向</w:t>
      </w:r>
      <w:r>
        <w:rPr>
          <w:rFonts w:hint="eastAsia" w:ascii="宋体" w:hAnsi="宋体" w:eastAsia="宋体" w:cs="宋体"/>
          <w:b w:val="0"/>
          <w:bCs w:val="0"/>
          <w:sz w:val="21"/>
          <w:szCs w:val="21"/>
          <w:lang w:val="en-US" w:eastAsia="zh-CN"/>
        </w:rPr>
        <w:t>甲方</w:t>
      </w:r>
      <w:r>
        <w:rPr>
          <w:rFonts w:hint="eastAsia" w:ascii="宋体" w:hAnsi="宋体" w:eastAsia="宋体" w:cs="宋体"/>
          <w:b w:val="0"/>
          <w:bCs w:val="0"/>
          <w:sz w:val="21"/>
          <w:szCs w:val="21"/>
          <w:lang w:eastAsia="zh-CN"/>
        </w:rPr>
        <w:t>支付合同总额的30%作为违约金</w:t>
      </w:r>
      <w:r>
        <w:rPr>
          <w:rFonts w:hint="eastAsia" w:ascii="宋体" w:hAnsi="宋体" w:eastAsia="宋体" w:cs="宋体"/>
          <w:sz w:val="21"/>
          <w:szCs w:val="21"/>
          <w:lang w:val="en-US" w:eastAsia="zh-CN"/>
        </w:rPr>
        <w:t>。</w:t>
      </w:r>
    </w:p>
    <w:p w14:paraId="7F236475">
      <w:pPr>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五、不可抗力及情势变更</w:t>
      </w:r>
    </w:p>
    <w:p w14:paraId="30FFF8BC">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 本合同存续期间，如果出现任何不可预见、不可避免并且不能克服的客观情况，包括但不限于国家政策、法规的重大变化、地震、水灾、瘟疫以及战争等情形，而这种客观情况已经或可能将会对一方履行其在本合同项下的义务产生重大不利影响，影响一方履行其在本合同项下的义务，则该方在不可抗力造成的延误期内中止履行本合同义务的，不应被视为违约，不承担责任。</w:t>
      </w:r>
    </w:p>
    <w:p w14:paraId="3D87D1A3">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 宣称发生不可抗力事件的一方应于不可抗力事由发生之日起72小时内书面通知另一方，采取措施防止损失的扩大，并在其后的15日内提供证明不可抗力事件发生及其持续的足够证据。</w:t>
      </w:r>
    </w:p>
    <w:p w14:paraId="6E36C0A3">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 如果发生不可抗力事件，双方应立即互相协商，以找到公平的解决办法，并且应尽一切合理努力将不可抗力事件的后果减小到最低限度。如不可抗力事件的发生或后果对本合同的履行造成重大妨碍，时间超过1个月，并且双方没有找到公平的解决办法，则任何一方可以书面通知另一方，终止本合同，乙方须将已收取的款项（扣除经甲方确认的合理支出）返还甲方，各方互不承担违约责任。解除合同的通知到达另一方时生效。</w:t>
      </w:r>
    </w:p>
    <w:p w14:paraId="2979EC1B">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6206BF2C">
      <w:pPr>
        <w:pStyle w:val="2"/>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六、其他</w:t>
      </w:r>
    </w:p>
    <w:p w14:paraId="36319B4A">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6.1本合同在履行过程中发生争议，甲乙双方应协商解决；协商不成，双方均可向甲方所在地人民法院起诉。</w:t>
      </w:r>
    </w:p>
    <w:p w14:paraId="3EC9EA0A">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6.2本合同任一方未经对方书面同意，不得以任何形式公开本合同及附件内容，以确保双方的商业机密保密。</w:t>
      </w:r>
    </w:p>
    <w:p w14:paraId="20A1E0B8">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6.3本合同自双方法定代表人或授权代表签字并盖章之日起生效，合同履行期内，甲乙双方均不得随意变更或解除合同。</w:t>
      </w:r>
    </w:p>
    <w:p w14:paraId="617BD5C4">
      <w:pPr>
        <w:pStyle w:val="2"/>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6.4本合同壹式肆份，甲方执叁份，乙方执壹份，具有同等法律效力。</w:t>
      </w:r>
    </w:p>
    <w:p w14:paraId="0167459A">
      <w:pPr>
        <w:pStyle w:val="2"/>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（以下无正文）</w:t>
      </w:r>
    </w:p>
    <w:p w14:paraId="33BBEDE8">
      <w:pPr>
        <w:rPr>
          <w:rFonts w:hint="eastAsia" w:ascii="宋体" w:hAnsi="宋体" w:eastAsia="宋体" w:cs="宋体"/>
          <w:sz w:val="21"/>
          <w:szCs w:val="21"/>
          <w:lang w:val="en-US" w:eastAsia="zh-CN"/>
        </w:rPr>
      </w:pPr>
    </w:p>
    <w:p w14:paraId="075E6791">
      <w:pPr>
        <w:pStyle w:val="2"/>
        <w:rPr>
          <w:rFonts w:hint="eastAsia" w:ascii="宋体" w:hAnsi="宋体" w:eastAsia="宋体" w:cs="宋体"/>
          <w:sz w:val="21"/>
          <w:szCs w:val="21"/>
          <w:lang w:val="en-US" w:eastAsia="zh-CN"/>
        </w:rPr>
      </w:pPr>
    </w:p>
    <w:p w14:paraId="3B0AEC40">
      <w:pPr>
        <w:spacing w:line="276" w:lineRule="auto"/>
        <w:ind w:firstLine="210" w:firstLineChars="100"/>
        <w:jc w:val="left"/>
        <w:rPr>
          <w:rFonts w:hint="eastAsia" w:ascii="宋体" w:hAnsi="宋体" w:eastAsia="宋体" w:cs="宋体"/>
          <w:sz w:val="21"/>
          <w:szCs w:val="21"/>
        </w:rPr>
      </w:pPr>
    </w:p>
    <w:p w14:paraId="724C2A1F">
      <w:pPr>
        <w:tabs>
          <w:tab w:val="left" w:pos="851"/>
          <w:tab w:val="left" w:pos="2127"/>
        </w:tabs>
        <w:spacing w:line="288" w:lineRule="auto"/>
        <w:rPr>
          <w:rFonts w:hint="eastAsia" w:ascii="宋体" w:hAnsi="宋体" w:eastAsia="宋体" w:cs="宋体"/>
          <w:b/>
          <w:sz w:val="21"/>
          <w:szCs w:val="21"/>
        </w:rPr>
      </w:pPr>
      <w:r>
        <w:rPr>
          <w:rFonts w:hint="eastAsia" w:ascii="宋体" w:hAnsi="宋体" w:eastAsia="宋体" w:cs="宋体"/>
          <w:b/>
          <w:sz w:val="21"/>
          <w:szCs w:val="21"/>
        </w:rPr>
        <w:t xml:space="preserve">甲方： 深圳大学城图书馆         </w:t>
      </w:r>
      <w:r>
        <w:rPr>
          <w:rFonts w:hint="eastAsia" w:ascii="宋体" w:hAnsi="宋体" w:eastAsia="宋体" w:cs="宋体"/>
          <w:b/>
          <w:sz w:val="21"/>
          <w:szCs w:val="21"/>
        </w:rPr>
        <w:tab/>
      </w:r>
      <w:r>
        <w:rPr>
          <w:rFonts w:hint="eastAsia" w:ascii="宋体" w:hAnsi="宋体" w:eastAsia="宋体" w:cs="宋体"/>
          <w:b/>
          <w:sz w:val="21"/>
          <w:szCs w:val="21"/>
        </w:rPr>
        <w:t xml:space="preserve">     乙方：</w:t>
      </w:r>
    </w:p>
    <w:p w14:paraId="0169D040">
      <w:pPr>
        <w:spacing w:line="288" w:lineRule="auto"/>
        <w:rPr>
          <w:rFonts w:hint="eastAsia" w:ascii="宋体" w:hAnsi="宋体" w:eastAsia="宋体" w:cs="宋体"/>
          <w:sz w:val="21"/>
          <w:szCs w:val="21"/>
        </w:rPr>
      </w:pPr>
    </w:p>
    <w:p w14:paraId="4AE37721">
      <w:pPr>
        <w:spacing w:line="288" w:lineRule="auto"/>
        <w:rPr>
          <w:rFonts w:hint="eastAsia" w:ascii="宋体" w:hAnsi="宋体" w:eastAsia="宋体" w:cs="宋体"/>
          <w:sz w:val="21"/>
          <w:szCs w:val="21"/>
        </w:rPr>
      </w:pPr>
      <w:bookmarkStart w:id="2" w:name="_Hlk44947988"/>
      <w:r>
        <w:rPr>
          <w:rFonts w:hint="eastAsia" w:ascii="宋体" w:hAnsi="宋体" w:eastAsia="宋体" w:cs="宋体"/>
          <w:sz w:val="21"/>
          <w:szCs w:val="21"/>
        </w:rPr>
        <w:t>法人代表或授权委托人：</w:t>
      </w:r>
      <w:bookmarkEnd w:id="2"/>
      <w:r>
        <w:rPr>
          <w:rFonts w:hint="eastAsia" w:ascii="宋体" w:hAnsi="宋体" w:eastAsia="宋体" w:cs="宋体"/>
          <w:sz w:val="21"/>
          <w:szCs w:val="21"/>
        </w:rPr>
        <w:t xml:space="preserve">                    法人代表或授权委托人：</w:t>
      </w:r>
    </w:p>
    <w:p w14:paraId="1E20EB74">
      <w:pPr>
        <w:spacing w:line="288" w:lineRule="auto"/>
        <w:rPr>
          <w:rFonts w:hint="eastAsia" w:ascii="宋体" w:hAnsi="宋体" w:eastAsia="宋体" w:cs="宋体"/>
          <w:sz w:val="21"/>
          <w:szCs w:val="21"/>
        </w:rPr>
      </w:pPr>
      <w:r>
        <w:rPr>
          <w:rFonts w:hint="eastAsia" w:ascii="宋体" w:hAnsi="宋体" w:eastAsia="宋体" w:cs="宋体"/>
          <w:sz w:val="21"/>
          <w:szCs w:val="21"/>
        </w:rPr>
        <w:t xml:space="preserve">                       </w:t>
      </w:r>
    </w:p>
    <w:p w14:paraId="0A9DF397">
      <w:pPr>
        <w:spacing w:line="288" w:lineRule="auto"/>
        <w:rPr>
          <w:rFonts w:hint="eastAsia" w:ascii="宋体" w:hAnsi="宋体" w:eastAsia="宋体" w:cs="宋体"/>
          <w:sz w:val="21"/>
          <w:szCs w:val="21"/>
        </w:rPr>
      </w:pPr>
      <w:r>
        <w:rPr>
          <w:rFonts w:hint="eastAsia" w:ascii="宋体" w:hAnsi="宋体" w:eastAsia="宋体" w:cs="宋体"/>
          <w:sz w:val="21"/>
          <w:szCs w:val="21"/>
        </w:rPr>
        <w:t xml:space="preserve">                                                    </w:t>
      </w:r>
    </w:p>
    <w:p w14:paraId="68C5F4F8">
      <w:pPr>
        <w:spacing w:line="288" w:lineRule="auto"/>
        <w:rPr>
          <w:rFonts w:hint="eastAsia" w:ascii="宋体" w:hAnsi="宋体" w:eastAsia="宋体" w:cs="宋体"/>
          <w:sz w:val="21"/>
          <w:szCs w:val="21"/>
        </w:rPr>
      </w:pPr>
      <w:r>
        <w:rPr>
          <w:rFonts w:hint="eastAsia" w:ascii="宋体" w:hAnsi="宋体" w:eastAsia="宋体" w:cs="宋体"/>
          <w:sz w:val="21"/>
          <w:szCs w:val="21"/>
        </w:rPr>
        <w:t>联系电话：                                 联系电话：</w:t>
      </w:r>
    </w:p>
    <w:p w14:paraId="7E85AEB8">
      <w:pPr>
        <w:spacing w:line="288" w:lineRule="auto"/>
        <w:rPr>
          <w:rFonts w:hint="eastAsia" w:ascii="宋体" w:hAnsi="宋体" w:eastAsia="宋体" w:cs="宋体"/>
          <w:sz w:val="21"/>
          <w:szCs w:val="21"/>
        </w:rPr>
      </w:pPr>
      <w:r>
        <w:rPr>
          <w:rFonts w:hint="eastAsia" w:ascii="宋体" w:hAnsi="宋体" w:eastAsia="宋体" w:cs="宋体"/>
          <w:sz w:val="21"/>
          <w:szCs w:val="21"/>
        </w:rPr>
        <w:t>签字日期：        年   月    日            签字日期：    年   月    日</w:t>
      </w:r>
    </w:p>
    <w:p w14:paraId="33B5C806">
      <w:pPr>
        <w:rPr>
          <w:rFonts w:hint="eastAsia" w:ascii="宋体" w:hAnsi="宋体" w:eastAsia="宋体" w:cs="宋体"/>
          <w:sz w:val="21"/>
          <w:szCs w:val="21"/>
          <w:lang w:val="en-US" w:eastAsia="zh-CN"/>
        </w:rPr>
      </w:pPr>
    </w:p>
    <w:p w14:paraId="56DF44C4">
      <w:pPr>
        <w:pStyle w:val="2"/>
        <w:rPr>
          <w:rFonts w:hint="eastAsia" w:ascii="宋体" w:hAnsi="宋体" w:eastAsia="宋体" w:cs="宋体"/>
          <w:sz w:val="21"/>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书宋简体">
    <w:altName w:val="宋体"/>
    <w:panose1 w:val="00000000000000000000"/>
    <w:charset w:val="86"/>
    <w:family w:val="roman"/>
    <w:pitch w:val="default"/>
    <w:sig w:usb0="00000000" w:usb1="00000000" w:usb2="00000010" w:usb3="00000000" w:csb0="00040000" w:csb1="0000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A1BD">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3FF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pStyle w:val="148"/>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pStyle w:val="152"/>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110"/>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140A6B21"/>
    <w:multiLevelType w:val="multilevel"/>
    <w:tmpl w:val="140A6B2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5">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9">
    <w:nsid w:val="59794862"/>
    <w:multiLevelType w:val="multilevel"/>
    <w:tmpl w:val="59794862"/>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63784A10"/>
    <w:multiLevelType w:val="multilevel"/>
    <w:tmpl w:val="63784A1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6B8803BD"/>
    <w:multiLevelType w:val="multilevel"/>
    <w:tmpl w:val="6B8803BD"/>
    <w:lvl w:ilvl="0" w:tentative="0">
      <w:start w:val="1"/>
      <w:numFmt w:val="decimal"/>
      <w:pStyle w:val="138"/>
      <w:suff w:val="nothing"/>
      <w:lvlText w:val="%1. "/>
      <w:lvlJc w:val="left"/>
      <w:pPr>
        <w:ind w:left="624" w:firstLine="0"/>
      </w:pPr>
      <w:rPr>
        <w:rFonts w:hint="default" w:ascii="Times New Roman" w:hAnsi="Times New Roman"/>
        <w:b/>
        <w:i w:val="0"/>
        <w:sz w:val="30"/>
      </w:rPr>
    </w:lvl>
    <w:lvl w:ilvl="1" w:tentative="0">
      <w:start w:val="1"/>
      <w:numFmt w:val="decimal"/>
      <w:isLgl/>
      <w:suff w:val="nothing"/>
      <w:lvlText w:val="%1.%2  "/>
      <w:lvlJc w:val="left"/>
      <w:pPr>
        <w:ind w:left="624" w:firstLine="0"/>
      </w:pPr>
      <w:rPr>
        <w:rFonts w:hint="default" w:ascii="Times New Roman" w:hAnsi="Times New Roman"/>
        <w:b/>
        <w:i w:val="0"/>
      </w:rPr>
    </w:lvl>
    <w:lvl w:ilvl="2" w:tentative="0">
      <w:start w:val="1"/>
      <w:numFmt w:val="decimal"/>
      <w:isLgl/>
      <w:suff w:val="nothing"/>
      <w:lvlText w:val="%1.%2.%3  "/>
      <w:lvlJc w:val="left"/>
      <w:pPr>
        <w:ind w:left="624" w:firstLine="0"/>
      </w:pPr>
      <w:rPr>
        <w:rFonts w:hint="default" w:ascii="Times New Roman" w:hAnsi="Times New Roman"/>
        <w:b/>
        <w:i w:val="0"/>
        <w:sz w:val="28"/>
      </w:rPr>
    </w:lvl>
    <w:lvl w:ilvl="3" w:tentative="0">
      <w:start w:val="1"/>
      <w:numFmt w:val="decimal"/>
      <w:suff w:val="nothing"/>
      <w:lvlText w:val="%4）"/>
      <w:lvlJc w:val="left"/>
      <w:pPr>
        <w:ind w:left="624" w:firstLine="624"/>
      </w:pPr>
      <w:rPr>
        <w:rFonts w:hint="default" w:ascii="Times New Roman" w:hAnsi="Times New Roman"/>
        <w:b/>
        <w:i w:val="0"/>
        <w:sz w:val="24"/>
      </w:rPr>
    </w:lvl>
    <w:lvl w:ilvl="4" w:tentative="0">
      <w:start w:val="1"/>
      <w:numFmt w:val="bullet"/>
      <w:suff w:val="nothing"/>
      <w:lvlText w:val=""/>
      <w:lvlJc w:val="left"/>
      <w:pPr>
        <w:ind w:left="624" w:firstLine="567"/>
      </w:pPr>
      <w:rPr>
        <w:rFonts w:hint="default" w:ascii="Symbol" w:hAnsi="Symbol"/>
        <w:sz w:val="48"/>
      </w:rPr>
    </w:lvl>
    <w:lvl w:ilvl="5" w:tentative="0">
      <w:start w:val="1"/>
      <w:numFmt w:val="none"/>
      <w:suff w:val="nothing"/>
      <w:lvlText w:val=""/>
      <w:lvlJc w:val="left"/>
      <w:pPr>
        <w:ind w:left="624" w:firstLine="0"/>
      </w:pPr>
      <w:rPr>
        <w:rFonts w:hint="eastAsia"/>
      </w:rPr>
    </w:lvl>
    <w:lvl w:ilvl="6" w:tentative="0">
      <w:start w:val="1"/>
      <w:numFmt w:val="none"/>
      <w:pStyle w:val="9"/>
      <w:suff w:val="nothing"/>
      <w:lvlText w:val=""/>
      <w:lvlJc w:val="left"/>
      <w:pPr>
        <w:ind w:left="624" w:firstLine="0"/>
      </w:pPr>
      <w:rPr>
        <w:rFonts w:hint="eastAsia"/>
      </w:rPr>
    </w:lvl>
    <w:lvl w:ilvl="7" w:tentative="0">
      <w:start w:val="1"/>
      <w:numFmt w:val="none"/>
      <w:pStyle w:val="11"/>
      <w:suff w:val="nothing"/>
      <w:lvlText w:val=""/>
      <w:lvlJc w:val="left"/>
      <w:pPr>
        <w:ind w:left="624" w:firstLine="0"/>
      </w:pPr>
      <w:rPr>
        <w:rFonts w:hint="eastAsia"/>
      </w:rPr>
    </w:lvl>
    <w:lvl w:ilvl="8" w:tentative="0">
      <w:start w:val="1"/>
      <w:numFmt w:val="none"/>
      <w:pStyle w:val="12"/>
      <w:suff w:val="nothing"/>
      <w:lvlText w:val=""/>
      <w:lvlJc w:val="left"/>
      <w:pPr>
        <w:ind w:left="624" w:firstLine="0"/>
      </w:pPr>
      <w:rPr>
        <w:rFonts w:hint="eastAsia"/>
      </w:rPr>
    </w:lvl>
  </w:abstractNum>
  <w:abstractNum w:abstractNumId="12">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1092596"/>
    <w:multiLevelType w:val="multilevel"/>
    <w:tmpl w:val="71092596"/>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76E92880"/>
    <w:multiLevelType w:val="multilevel"/>
    <w:tmpl w:val="76E92880"/>
    <w:lvl w:ilvl="0" w:tentative="0">
      <w:start w:val="1"/>
      <w:numFmt w:val="decimal"/>
      <w:suff w:val="nothing"/>
      <w:lvlText w:val="%1)"/>
      <w:lvlJc w:val="left"/>
      <w:pPr>
        <w:ind w:left="840" w:hanging="420"/>
      </w:pPr>
      <w:rPr>
        <w:rFonts w:hint="eastAsia" w:ascii="宋体" w:hAnsi="宋体" w:eastAsia="宋体"/>
        <w:b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1"/>
  </w:num>
  <w:num w:numId="2">
    <w:abstractNumId w:val="0"/>
  </w:num>
  <w:num w:numId="3">
    <w:abstractNumId w:val="10"/>
  </w:num>
  <w:num w:numId="4">
    <w:abstractNumId w:val="5"/>
  </w:num>
  <w:num w:numId="5">
    <w:abstractNumId w:val="6"/>
  </w:num>
  <w:num w:numId="6">
    <w:abstractNumId w:val="3"/>
  </w:num>
  <w:num w:numId="7">
    <w:abstractNumId w:val="13"/>
  </w:num>
  <w:num w:numId="8">
    <w:abstractNumId w:val="14"/>
  </w:num>
  <w:num w:numId="9">
    <w:abstractNumId w:val="9"/>
  </w:num>
  <w:num w:numId="10">
    <w:abstractNumId w:val="1"/>
  </w:num>
  <w:num w:numId="11">
    <w:abstractNumId w:val="7"/>
  </w:num>
  <w:num w:numId="12">
    <w:abstractNumId w:val="2"/>
  </w:num>
  <w:num w:numId="13">
    <w:abstractNumId w:val="1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5ZjdkNDNlNjQ3NWI1YTBiNmFiYmY2MGIwMTU3MzgifQ=="/>
  </w:docVars>
  <w:rsids>
    <w:rsidRoot w:val="00B1413B"/>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00A"/>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048"/>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7C2"/>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2E79"/>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6C4"/>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2605"/>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4C9"/>
    <w:rsid w:val="001B0A70"/>
    <w:rsid w:val="001B0AC9"/>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3EC"/>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5E59"/>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03A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7D6"/>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177"/>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3F61"/>
    <w:rsid w:val="00314DC3"/>
    <w:rsid w:val="00315507"/>
    <w:rsid w:val="00317030"/>
    <w:rsid w:val="003172A6"/>
    <w:rsid w:val="00317315"/>
    <w:rsid w:val="0031760F"/>
    <w:rsid w:val="00317F58"/>
    <w:rsid w:val="00317FC5"/>
    <w:rsid w:val="003209EC"/>
    <w:rsid w:val="0032120F"/>
    <w:rsid w:val="003212BB"/>
    <w:rsid w:val="0032295D"/>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BC1"/>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EB0"/>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651"/>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6C0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A79"/>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28CB"/>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83"/>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587"/>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400"/>
    <w:rsid w:val="004F6BB2"/>
    <w:rsid w:val="0050046A"/>
    <w:rsid w:val="0050069F"/>
    <w:rsid w:val="005015A4"/>
    <w:rsid w:val="00501F2E"/>
    <w:rsid w:val="005040E3"/>
    <w:rsid w:val="005045F0"/>
    <w:rsid w:val="00504C82"/>
    <w:rsid w:val="0050509A"/>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12"/>
    <w:rsid w:val="005513E6"/>
    <w:rsid w:val="005521A5"/>
    <w:rsid w:val="005538EE"/>
    <w:rsid w:val="00553DCB"/>
    <w:rsid w:val="00553E8C"/>
    <w:rsid w:val="00554841"/>
    <w:rsid w:val="00554CF9"/>
    <w:rsid w:val="00554EDE"/>
    <w:rsid w:val="00555B34"/>
    <w:rsid w:val="00555DD0"/>
    <w:rsid w:val="00557DCD"/>
    <w:rsid w:val="00557E8B"/>
    <w:rsid w:val="005610A5"/>
    <w:rsid w:val="00561343"/>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3EA"/>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17"/>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570"/>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61B"/>
    <w:rsid w:val="00671DC8"/>
    <w:rsid w:val="00672DEF"/>
    <w:rsid w:val="006749CD"/>
    <w:rsid w:val="0067505E"/>
    <w:rsid w:val="00675D11"/>
    <w:rsid w:val="00675E52"/>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6C1"/>
    <w:rsid w:val="006D4BC7"/>
    <w:rsid w:val="006D5FA7"/>
    <w:rsid w:val="006D5FC6"/>
    <w:rsid w:val="006D66AF"/>
    <w:rsid w:val="006D7E04"/>
    <w:rsid w:val="006E041F"/>
    <w:rsid w:val="006E1A70"/>
    <w:rsid w:val="006E2065"/>
    <w:rsid w:val="006E25F5"/>
    <w:rsid w:val="006E30E9"/>
    <w:rsid w:val="006E34BF"/>
    <w:rsid w:val="006E405B"/>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2EDF"/>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727"/>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0B8"/>
    <w:rsid w:val="007F26F4"/>
    <w:rsid w:val="007F2A0A"/>
    <w:rsid w:val="007F3007"/>
    <w:rsid w:val="007F45F5"/>
    <w:rsid w:val="007F4B5C"/>
    <w:rsid w:val="007F543A"/>
    <w:rsid w:val="007F6EAD"/>
    <w:rsid w:val="007F6F6C"/>
    <w:rsid w:val="007F7192"/>
    <w:rsid w:val="007F7EA8"/>
    <w:rsid w:val="0080065E"/>
    <w:rsid w:val="008022D7"/>
    <w:rsid w:val="00802E73"/>
    <w:rsid w:val="008034FC"/>
    <w:rsid w:val="00803D09"/>
    <w:rsid w:val="00804467"/>
    <w:rsid w:val="00804A1E"/>
    <w:rsid w:val="00805867"/>
    <w:rsid w:val="00805D27"/>
    <w:rsid w:val="008073C9"/>
    <w:rsid w:val="0080750B"/>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72A"/>
    <w:rsid w:val="0084388B"/>
    <w:rsid w:val="008438F3"/>
    <w:rsid w:val="00843983"/>
    <w:rsid w:val="00844268"/>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278"/>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0E6"/>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C9C"/>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159"/>
    <w:rsid w:val="00926F26"/>
    <w:rsid w:val="009314AC"/>
    <w:rsid w:val="00931CF3"/>
    <w:rsid w:val="00932E40"/>
    <w:rsid w:val="00933852"/>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6E15"/>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1E10"/>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4F5C"/>
    <w:rsid w:val="00A1557C"/>
    <w:rsid w:val="00A16824"/>
    <w:rsid w:val="00A16848"/>
    <w:rsid w:val="00A16C1A"/>
    <w:rsid w:val="00A17C7C"/>
    <w:rsid w:val="00A17E79"/>
    <w:rsid w:val="00A2034C"/>
    <w:rsid w:val="00A21EC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A7D"/>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68CE"/>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99D"/>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2646"/>
    <w:rsid w:val="00AC278A"/>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0BFC"/>
    <w:rsid w:val="00AF101C"/>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3B"/>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542"/>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80D"/>
    <w:rsid w:val="00B63A66"/>
    <w:rsid w:val="00B641E1"/>
    <w:rsid w:val="00B6476E"/>
    <w:rsid w:val="00B65480"/>
    <w:rsid w:val="00B72091"/>
    <w:rsid w:val="00B72C22"/>
    <w:rsid w:val="00B72CC7"/>
    <w:rsid w:val="00B7408F"/>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D8E"/>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4FC3"/>
    <w:rsid w:val="00C56AB6"/>
    <w:rsid w:val="00C56C34"/>
    <w:rsid w:val="00C56C57"/>
    <w:rsid w:val="00C5751B"/>
    <w:rsid w:val="00C57B91"/>
    <w:rsid w:val="00C60472"/>
    <w:rsid w:val="00C60E72"/>
    <w:rsid w:val="00C62929"/>
    <w:rsid w:val="00C62E09"/>
    <w:rsid w:val="00C62EBC"/>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86F"/>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357D"/>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3F5"/>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A72FF"/>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60E3"/>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D0D"/>
    <w:rsid w:val="00E22ECF"/>
    <w:rsid w:val="00E23A0F"/>
    <w:rsid w:val="00E24853"/>
    <w:rsid w:val="00E2594D"/>
    <w:rsid w:val="00E25BE8"/>
    <w:rsid w:val="00E26A8B"/>
    <w:rsid w:val="00E26F0E"/>
    <w:rsid w:val="00E313F4"/>
    <w:rsid w:val="00E3167F"/>
    <w:rsid w:val="00E33B93"/>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9C9"/>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2EB"/>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1FF8"/>
    <w:rsid w:val="00EB24B8"/>
    <w:rsid w:val="00EB24DC"/>
    <w:rsid w:val="00EB305A"/>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0D3D"/>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0E9C"/>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415"/>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3EC8"/>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755"/>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D7801"/>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D46A30"/>
    <w:rsid w:val="01E94042"/>
    <w:rsid w:val="02C559AA"/>
    <w:rsid w:val="034D1474"/>
    <w:rsid w:val="036A1568"/>
    <w:rsid w:val="03876653"/>
    <w:rsid w:val="0451433B"/>
    <w:rsid w:val="045D10A1"/>
    <w:rsid w:val="04E936A2"/>
    <w:rsid w:val="051C68B3"/>
    <w:rsid w:val="06631588"/>
    <w:rsid w:val="06652463"/>
    <w:rsid w:val="06A87D2B"/>
    <w:rsid w:val="07365706"/>
    <w:rsid w:val="08067BA5"/>
    <w:rsid w:val="08E21B49"/>
    <w:rsid w:val="0A7F7E56"/>
    <w:rsid w:val="0B1E1DEE"/>
    <w:rsid w:val="0B7D28D5"/>
    <w:rsid w:val="0D450FD4"/>
    <w:rsid w:val="0DB80CEF"/>
    <w:rsid w:val="0E45273C"/>
    <w:rsid w:val="0E4A4857"/>
    <w:rsid w:val="0EAB61F1"/>
    <w:rsid w:val="0EFB1BB6"/>
    <w:rsid w:val="0F4F578B"/>
    <w:rsid w:val="0FF7237E"/>
    <w:rsid w:val="10095D3F"/>
    <w:rsid w:val="10AD30E4"/>
    <w:rsid w:val="10C52323"/>
    <w:rsid w:val="10F16DCD"/>
    <w:rsid w:val="11432226"/>
    <w:rsid w:val="11E443DA"/>
    <w:rsid w:val="13294592"/>
    <w:rsid w:val="13EB3E29"/>
    <w:rsid w:val="14D64C58"/>
    <w:rsid w:val="154A4F11"/>
    <w:rsid w:val="155E7D80"/>
    <w:rsid w:val="157B57FF"/>
    <w:rsid w:val="15A44FCD"/>
    <w:rsid w:val="160E1496"/>
    <w:rsid w:val="164B2437"/>
    <w:rsid w:val="166259E2"/>
    <w:rsid w:val="16B637AF"/>
    <w:rsid w:val="170D41AC"/>
    <w:rsid w:val="174F0CF1"/>
    <w:rsid w:val="177436F0"/>
    <w:rsid w:val="178D6106"/>
    <w:rsid w:val="17A1507B"/>
    <w:rsid w:val="17A27EDA"/>
    <w:rsid w:val="184D07FE"/>
    <w:rsid w:val="18CC6D33"/>
    <w:rsid w:val="19263C32"/>
    <w:rsid w:val="19593F3D"/>
    <w:rsid w:val="195C5947"/>
    <w:rsid w:val="19805192"/>
    <w:rsid w:val="19DA6D1D"/>
    <w:rsid w:val="19DD1C1A"/>
    <w:rsid w:val="1A145C1A"/>
    <w:rsid w:val="1A253E83"/>
    <w:rsid w:val="1A3B1B57"/>
    <w:rsid w:val="1A67638F"/>
    <w:rsid w:val="1A991BB8"/>
    <w:rsid w:val="1AB2467B"/>
    <w:rsid w:val="1AD611BB"/>
    <w:rsid w:val="1B756F73"/>
    <w:rsid w:val="1CA53AB9"/>
    <w:rsid w:val="1CEF17F7"/>
    <w:rsid w:val="1CF77E61"/>
    <w:rsid w:val="1D081F6E"/>
    <w:rsid w:val="1D084F71"/>
    <w:rsid w:val="1D6218B2"/>
    <w:rsid w:val="1D8067AE"/>
    <w:rsid w:val="1DBA2C3C"/>
    <w:rsid w:val="1DF223D6"/>
    <w:rsid w:val="1DF50BDD"/>
    <w:rsid w:val="1E5E7A6C"/>
    <w:rsid w:val="1EF26B32"/>
    <w:rsid w:val="1F967A0D"/>
    <w:rsid w:val="20AD29B4"/>
    <w:rsid w:val="20C82B4E"/>
    <w:rsid w:val="212769BF"/>
    <w:rsid w:val="21D0601B"/>
    <w:rsid w:val="22610974"/>
    <w:rsid w:val="228E25F8"/>
    <w:rsid w:val="23521BAD"/>
    <w:rsid w:val="238F5E34"/>
    <w:rsid w:val="23B83C9F"/>
    <w:rsid w:val="24494E8C"/>
    <w:rsid w:val="24605E31"/>
    <w:rsid w:val="254A48EC"/>
    <w:rsid w:val="258C4E85"/>
    <w:rsid w:val="26352B82"/>
    <w:rsid w:val="263F741F"/>
    <w:rsid w:val="27920434"/>
    <w:rsid w:val="27927EA2"/>
    <w:rsid w:val="27A81A36"/>
    <w:rsid w:val="27C41FC5"/>
    <w:rsid w:val="28187C21"/>
    <w:rsid w:val="282D50EF"/>
    <w:rsid w:val="288E3327"/>
    <w:rsid w:val="28970144"/>
    <w:rsid w:val="28A478EF"/>
    <w:rsid w:val="29262DDA"/>
    <w:rsid w:val="29624EED"/>
    <w:rsid w:val="29673F0C"/>
    <w:rsid w:val="2A3E6679"/>
    <w:rsid w:val="2A877797"/>
    <w:rsid w:val="2BEB5EB7"/>
    <w:rsid w:val="2C881338"/>
    <w:rsid w:val="2D1B1C2D"/>
    <w:rsid w:val="2D2D342B"/>
    <w:rsid w:val="2D377643"/>
    <w:rsid w:val="2DEC7116"/>
    <w:rsid w:val="2E1B38B3"/>
    <w:rsid w:val="2EC537F0"/>
    <w:rsid w:val="2F770C66"/>
    <w:rsid w:val="30FB0C41"/>
    <w:rsid w:val="31434FCB"/>
    <w:rsid w:val="325762F9"/>
    <w:rsid w:val="32CA53AB"/>
    <w:rsid w:val="330C1512"/>
    <w:rsid w:val="332350B4"/>
    <w:rsid w:val="332726EA"/>
    <w:rsid w:val="334600E8"/>
    <w:rsid w:val="335C44B1"/>
    <w:rsid w:val="33905DFE"/>
    <w:rsid w:val="33B87B70"/>
    <w:rsid w:val="33E7300C"/>
    <w:rsid w:val="343B6F1E"/>
    <w:rsid w:val="349F6EDF"/>
    <w:rsid w:val="34A402E0"/>
    <w:rsid w:val="34D62480"/>
    <w:rsid w:val="358F607B"/>
    <w:rsid w:val="36304D8A"/>
    <w:rsid w:val="36455341"/>
    <w:rsid w:val="368A1CC2"/>
    <w:rsid w:val="368B0088"/>
    <w:rsid w:val="36D72593"/>
    <w:rsid w:val="36DA6238"/>
    <w:rsid w:val="37881085"/>
    <w:rsid w:val="378F3948"/>
    <w:rsid w:val="381B61DD"/>
    <w:rsid w:val="38B21EA3"/>
    <w:rsid w:val="38B955D1"/>
    <w:rsid w:val="38C54A64"/>
    <w:rsid w:val="3960707A"/>
    <w:rsid w:val="398D3066"/>
    <w:rsid w:val="39C173D5"/>
    <w:rsid w:val="3A620FF5"/>
    <w:rsid w:val="3A6E3355"/>
    <w:rsid w:val="3A7E6AD2"/>
    <w:rsid w:val="3A912503"/>
    <w:rsid w:val="3A9974CC"/>
    <w:rsid w:val="3AAE2D66"/>
    <w:rsid w:val="3AF10143"/>
    <w:rsid w:val="3B576B37"/>
    <w:rsid w:val="3B71309E"/>
    <w:rsid w:val="3D0461C5"/>
    <w:rsid w:val="3D937B6F"/>
    <w:rsid w:val="3DAF10E5"/>
    <w:rsid w:val="3F4D67A7"/>
    <w:rsid w:val="40097A57"/>
    <w:rsid w:val="4080333B"/>
    <w:rsid w:val="41393D6C"/>
    <w:rsid w:val="413F2658"/>
    <w:rsid w:val="421F2BCA"/>
    <w:rsid w:val="433235EB"/>
    <w:rsid w:val="43B64969"/>
    <w:rsid w:val="43BB2819"/>
    <w:rsid w:val="4433372D"/>
    <w:rsid w:val="44C4086C"/>
    <w:rsid w:val="44DC4379"/>
    <w:rsid w:val="453315B7"/>
    <w:rsid w:val="455B2FFA"/>
    <w:rsid w:val="45A2513B"/>
    <w:rsid w:val="460D0F13"/>
    <w:rsid w:val="46611221"/>
    <w:rsid w:val="47313CB5"/>
    <w:rsid w:val="47E6606E"/>
    <w:rsid w:val="48392FC1"/>
    <w:rsid w:val="489A0EB6"/>
    <w:rsid w:val="49065CC2"/>
    <w:rsid w:val="496C6060"/>
    <w:rsid w:val="49D7054F"/>
    <w:rsid w:val="49FA7BDB"/>
    <w:rsid w:val="49FE535F"/>
    <w:rsid w:val="4AF131C2"/>
    <w:rsid w:val="4B0A2471"/>
    <w:rsid w:val="4B163E9D"/>
    <w:rsid w:val="4B865D88"/>
    <w:rsid w:val="4B912FAD"/>
    <w:rsid w:val="4BA23F91"/>
    <w:rsid w:val="4BD47A05"/>
    <w:rsid w:val="4CD35C4C"/>
    <w:rsid w:val="4CDD5E7C"/>
    <w:rsid w:val="4CF41D17"/>
    <w:rsid w:val="4D5A571F"/>
    <w:rsid w:val="4D7D797F"/>
    <w:rsid w:val="4E580A89"/>
    <w:rsid w:val="4E630603"/>
    <w:rsid w:val="4E7418D9"/>
    <w:rsid w:val="4E894A7C"/>
    <w:rsid w:val="4EFE70A6"/>
    <w:rsid w:val="50CA4969"/>
    <w:rsid w:val="516B1411"/>
    <w:rsid w:val="52674F40"/>
    <w:rsid w:val="527C307F"/>
    <w:rsid w:val="52840CE5"/>
    <w:rsid w:val="52992845"/>
    <w:rsid w:val="52A14962"/>
    <w:rsid w:val="52B445AC"/>
    <w:rsid w:val="539F7720"/>
    <w:rsid w:val="53CF78AF"/>
    <w:rsid w:val="54024B9F"/>
    <w:rsid w:val="54216F96"/>
    <w:rsid w:val="555869E7"/>
    <w:rsid w:val="55BE69D9"/>
    <w:rsid w:val="55FF50B5"/>
    <w:rsid w:val="565F24C7"/>
    <w:rsid w:val="566D339A"/>
    <w:rsid w:val="56BD3DA2"/>
    <w:rsid w:val="56F46231"/>
    <w:rsid w:val="574907D2"/>
    <w:rsid w:val="574D7210"/>
    <w:rsid w:val="574E7653"/>
    <w:rsid w:val="576E4815"/>
    <w:rsid w:val="57802226"/>
    <w:rsid w:val="578734C3"/>
    <w:rsid w:val="578744CF"/>
    <w:rsid w:val="57B85F76"/>
    <w:rsid w:val="58986FFA"/>
    <w:rsid w:val="58B140CA"/>
    <w:rsid w:val="58C716F4"/>
    <w:rsid w:val="591C37E1"/>
    <w:rsid w:val="59366271"/>
    <w:rsid w:val="5B50710E"/>
    <w:rsid w:val="5B98266F"/>
    <w:rsid w:val="5B9D3200"/>
    <w:rsid w:val="5BFD3F95"/>
    <w:rsid w:val="5C081966"/>
    <w:rsid w:val="5CA82D45"/>
    <w:rsid w:val="5CC7698D"/>
    <w:rsid w:val="5D594D5B"/>
    <w:rsid w:val="5D9615C0"/>
    <w:rsid w:val="5DED5C02"/>
    <w:rsid w:val="5E7464DC"/>
    <w:rsid w:val="5E9B7179"/>
    <w:rsid w:val="5F04790E"/>
    <w:rsid w:val="5F3C496A"/>
    <w:rsid w:val="5F7408C2"/>
    <w:rsid w:val="6000236F"/>
    <w:rsid w:val="60F82E35"/>
    <w:rsid w:val="610F1A58"/>
    <w:rsid w:val="611C2FBF"/>
    <w:rsid w:val="615D002E"/>
    <w:rsid w:val="616A693A"/>
    <w:rsid w:val="61BD230F"/>
    <w:rsid w:val="62875416"/>
    <w:rsid w:val="62876CB0"/>
    <w:rsid w:val="62C1049A"/>
    <w:rsid w:val="62EB7455"/>
    <w:rsid w:val="646C150D"/>
    <w:rsid w:val="65550CB8"/>
    <w:rsid w:val="65C92755"/>
    <w:rsid w:val="6605098D"/>
    <w:rsid w:val="666A65DD"/>
    <w:rsid w:val="66E437B9"/>
    <w:rsid w:val="67455A13"/>
    <w:rsid w:val="67896ED4"/>
    <w:rsid w:val="678E2340"/>
    <w:rsid w:val="67D45E9B"/>
    <w:rsid w:val="68764798"/>
    <w:rsid w:val="689B55A1"/>
    <w:rsid w:val="69694C28"/>
    <w:rsid w:val="69F15297"/>
    <w:rsid w:val="69F66A68"/>
    <w:rsid w:val="6AB9187F"/>
    <w:rsid w:val="6ADF117F"/>
    <w:rsid w:val="6AEF74FC"/>
    <w:rsid w:val="6D176E06"/>
    <w:rsid w:val="6D3C22F3"/>
    <w:rsid w:val="6D45556C"/>
    <w:rsid w:val="6E2045AA"/>
    <w:rsid w:val="6E250C4D"/>
    <w:rsid w:val="6F1E7909"/>
    <w:rsid w:val="6F853AF9"/>
    <w:rsid w:val="6FCA736F"/>
    <w:rsid w:val="70025714"/>
    <w:rsid w:val="705461B1"/>
    <w:rsid w:val="70AB7EBB"/>
    <w:rsid w:val="70D431DC"/>
    <w:rsid w:val="71700574"/>
    <w:rsid w:val="717324A2"/>
    <w:rsid w:val="71FE6F8A"/>
    <w:rsid w:val="72113D4E"/>
    <w:rsid w:val="722D1E68"/>
    <w:rsid w:val="725E60B5"/>
    <w:rsid w:val="72723227"/>
    <w:rsid w:val="72E07E38"/>
    <w:rsid w:val="743B50B2"/>
    <w:rsid w:val="749725B8"/>
    <w:rsid w:val="74DB6895"/>
    <w:rsid w:val="76305682"/>
    <w:rsid w:val="76A11BAB"/>
    <w:rsid w:val="76D31458"/>
    <w:rsid w:val="76E31CA8"/>
    <w:rsid w:val="77246397"/>
    <w:rsid w:val="782B7C38"/>
    <w:rsid w:val="784824C7"/>
    <w:rsid w:val="78B31F85"/>
    <w:rsid w:val="79B66C07"/>
    <w:rsid w:val="79C63670"/>
    <w:rsid w:val="79D115A5"/>
    <w:rsid w:val="7A187A65"/>
    <w:rsid w:val="7A65732D"/>
    <w:rsid w:val="7AC6317B"/>
    <w:rsid w:val="7AFC6F78"/>
    <w:rsid w:val="7B2C222A"/>
    <w:rsid w:val="7B8D10F5"/>
    <w:rsid w:val="7C182C9F"/>
    <w:rsid w:val="7C61212E"/>
    <w:rsid w:val="7CB60A26"/>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58"/>
    <w:qFormat/>
    <w:uiPriority w:val="0"/>
    <w:pPr>
      <w:keepNext/>
      <w:keepLines/>
      <w:spacing w:before="280" w:after="290" w:line="376" w:lineRule="auto"/>
      <w:outlineLvl w:val="4"/>
    </w:pPr>
    <w:rPr>
      <w:b/>
      <w:bCs/>
      <w:sz w:val="28"/>
      <w:szCs w:val="28"/>
    </w:rPr>
  </w:style>
  <w:style w:type="paragraph" w:styleId="8">
    <w:name w:val="heading 6"/>
    <w:basedOn w:val="1"/>
    <w:next w:val="1"/>
    <w:link w:val="59"/>
    <w:qFormat/>
    <w:uiPriority w:val="0"/>
    <w:pPr>
      <w:keepNext/>
      <w:keepLines/>
      <w:widowControl/>
      <w:spacing w:before="240" w:after="64" w:line="320" w:lineRule="auto"/>
      <w:jc w:val="left"/>
      <w:outlineLvl w:val="5"/>
    </w:pPr>
    <w:rPr>
      <w:rFonts w:ascii="Arial" w:hAnsi="Arial" w:eastAsia="黑体"/>
      <w:b/>
      <w:bCs/>
      <w:kern w:val="0"/>
      <w:sz w:val="24"/>
      <w:szCs w:val="24"/>
    </w:rPr>
  </w:style>
  <w:style w:type="paragraph" w:styleId="9">
    <w:name w:val="heading 7"/>
    <w:basedOn w:val="1"/>
    <w:next w:val="10"/>
    <w:link w:val="60"/>
    <w:qFormat/>
    <w:uiPriority w:val="0"/>
    <w:pPr>
      <w:keepNext/>
      <w:keepLines/>
      <w:numPr>
        <w:ilvl w:val="6"/>
        <w:numId w:val="1"/>
      </w:numPr>
      <w:adjustRightInd w:val="0"/>
      <w:snapToGrid w:val="0"/>
      <w:spacing w:before="240" w:line="320" w:lineRule="auto"/>
      <w:outlineLvl w:val="6"/>
    </w:pPr>
    <w:rPr>
      <w:b/>
      <w:sz w:val="28"/>
      <w:szCs w:val="20"/>
    </w:rPr>
  </w:style>
  <w:style w:type="paragraph" w:styleId="11">
    <w:name w:val="heading 8"/>
    <w:basedOn w:val="1"/>
    <w:next w:val="10"/>
    <w:link w:val="62"/>
    <w:qFormat/>
    <w:uiPriority w:val="0"/>
    <w:pPr>
      <w:keepNext/>
      <w:keepLines/>
      <w:numPr>
        <w:ilvl w:val="7"/>
        <w:numId w:val="1"/>
      </w:numPr>
      <w:adjustRightInd w:val="0"/>
      <w:snapToGrid w:val="0"/>
      <w:spacing w:before="240" w:line="320" w:lineRule="auto"/>
      <w:outlineLvl w:val="7"/>
    </w:pPr>
    <w:rPr>
      <w:rFonts w:ascii="Arial" w:hAnsi="Arial" w:eastAsia="黑体"/>
      <w:sz w:val="28"/>
      <w:szCs w:val="20"/>
    </w:rPr>
  </w:style>
  <w:style w:type="paragraph" w:styleId="12">
    <w:name w:val="heading 9"/>
    <w:basedOn w:val="1"/>
    <w:next w:val="10"/>
    <w:link w:val="63"/>
    <w:qFormat/>
    <w:uiPriority w:val="0"/>
    <w:pPr>
      <w:keepNext/>
      <w:keepLines/>
      <w:numPr>
        <w:ilvl w:val="8"/>
        <w:numId w:val="1"/>
      </w:numPr>
      <w:adjustRightInd w:val="0"/>
      <w:snapToGrid w:val="0"/>
      <w:spacing w:before="240" w:line="320" w:lineRule="auto"/>
      <w:outlineLvl w:val="8"/>
    </w:pPr>
    <w:rPr>
      <w:rFonts w:ascii="Arial" w:hAnsi="Arial" w:eastAsia="黑体"/>
      <w:szCs w:val="20"/>
    </w:rPr>
  </w:style>
  <w:style w:type="character" w:default="1" w:styleId="45">
    <w:name w:val="Default Paragraph Font"/>
    <w:autoRedefine/>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unhideWhenUsed/>
    <w:qFormat/>
    <w:uiPriority w:val="0"/>
    <w:pPr>
      <w:spacing w:after="120"/>
    </w:pPr>
  </w:style>
  <w:style w:type="paragraph" w:styleId="10">
    <w:name w:val="Normal Indent"/>
    <w:basedOn w:val="1"/>
    <w:link w:val="61"/>
    <w:qFormat/>
    <w:uiPriority w:val="0"/>
    <w:pPr>
      <w:spacing w:afterLines="25" w:line="300" w:lineRule="auto"/>
      <w:ind w:firstLine="420" w:firstLineChars="200"/>
    </w:pPr>
    <w:rPr>
      <w:rFonts w:ascii="Arial" w:hAnsi="Arial"/>
      <w:szCs w:val="24"/>
    </w:rPr>
  </w:style>
  <w:style w:type="paragraph" w:styleId="13">
    <w:name w:val="toc 7"/>
    <w:basedOn w:val="1"/>
    <w:next w:val="1"/>
    <w:qFormat/>
    <w:uiPriority w:val="0"/>
    <w:pPr>
      <w:spacing w:afterLines="25" w:line="300" w:lineRule="auto"/>
      <w:ind w:left="2520" w:leftChars="1200"/>
    </w:pPr>
    <w:rPr>
      <w:rFonts w:ascii="Arial" w:hAnsi="Arial"/>
      <w:szCs w:val="24"/>
    </w:rPr>
  </w:style>
  <w:style w:type="paragraph" w:styleId="14">
    <w:name w:val="caption"/>
    <w:basedOn w:val="1"/>
    <w:next w:val="1"/>
    <w:qFormat/>
    <w:uiPriority w:val="0"/>
    <w:pPr>
      <w:spacing w:before="152"/>
    </w:pPr>
    <w:rPr>
      <w:rFonts w:ascii="Arial" w:hAnsi="Arial" w:eastAsia="黑体"/>
      <w:sz w:val="20"/>
      <w:szCs w:val="20"/>
    </w:rPr>
  </w:style>
  <w:style w:type="paragraph" w:styleId="15">
    <w:name w:val="Document Map"/>
    <w:basedOn w:val="1"/>
    <w:link w:val="64"/>
    <w:qFormat/>
    <w:uiPriority w:val="0"/>
    <w:pPr>
      <w:shd w:val="clear" w:color="auto" w:fill="000080"/>
      <w:spacing w:afterLines="25" w:line="300" w:lineRule="auto"/>
    </w:pPr>
    <w:rPr>
      <w:rFonts w:ascii="Arial" w:hAnsi="Arial"/>
      <w:szCs w:val="24"/>
    </w:rPr>
  </w:style>
  <w:style w:type="paragraph" w:styleId="16">
    <w:name w:val="annotation text"/>
    <w:basedOn w:val="1"/>
    <w:link w:val="65"/>
    <w:unhideWhenUsed/>
    <w:qFormat/>
    <w:uiPriority w:val="99"/>
    <w:pPr>
      <w:jc w:val="left"/>
    </w:pPr>
  </w:style>
  <w:style w:type="paragraph" w:styleId="17">
    <w:name w:val="Body Text 3"/>
    <w:basedOn w:val="1"/>
    <w:link w:val="66"/>
    <w:qFormat/>
    <w:uiPriority w:val="0"/>
    <w:rPr>
      <w:sz w:val="16"/>
      <w:szCs w:val="20"/>
    </w:rPr>
  </w:style>
  <w:style w:type="paragraph" w:styleId="18">
    <w:name w:val="Body Text Indent"/>
    <w:basedOn w:val="1"/>
    <w:link w:val="67"/>
    <w:unhideWhenUsed/>
    <w:qFormat/>
    <w:uiPriority w:val="0"/>
    <w:pPr>
      <w:spacing w:after="120"/>
      <w:ind w:left="420" w:leftChars="200"/>
    </w:pPr>
  </w:style>
  <w:style w:type="paragraph" w:styleId="19">
    <w:name w:val="toc 5"/>
    <w:basedOn w:val="1"/>
    <w:next w:val="1"/>
    <w:qFormat/>
    <w:uiPriority w:val="0"/>
    <w:pPr>
      <w:spacing w:afterLines="25" w:line="300" w:lineRule="auto"/>
      <w:ind w:left="800" w:leftChars="800"/>
    </w:pPr>
    <w:rPr>
      <w:rFonts w:ascii="Arial" w:hAnsi="Arial"/>
      <w:szCs w:val="24"/>
    </w:rPr>
  </w:style>
  <w:style w:type="paragraph" w:styleId="20">
    <w:name w:val="toc 3"/>
    <w:basedOn w:val="1"/>
    <w:next w:val="1"/>
    <w:semiHidden/>
    <w:qFormat/>
    <w:uiPriority w:val="39"/>
    <w:pPr>
      <w:spacing w:afterLines="25" w:line="300" w:lineRule="auto"/>
      <w:ind w:left="400" w:leftChars="400"/>
    </w:pPr>
    <w:rPr>
      <w:rFonts w:ascii="Arial" w:hAnsi="Arial"/>
      <w:szCs w:val="24"/>
    </w:rPr>
  </w:style>
  <w:style w:type="paragraph" w:styleId="21">
    <w:name w:val="Plain Text"/>
    <w:basedOn w:val="1"/>
    <w:link w:val="68"/>
    <w:qFormat/>
    <w:uiPriority w:val="0"/>
    <w:rPr>
      <w:rFonts w:ascii="宋体" w:hAnsi="Courier New"/>
      <w:kern w:val="0"/>
      <w:sz w:val="20"/>
      <w:szCs w:val="21"/>
    </w:rPr>
  </w:style>
  <w:style w:type="paragraph" w:styleId="22">
    <w:name w:val="toc 8"/>
    <w:basedOn w:val="1"/>
    <w:next w:val="1"/>
    <w:qFormat/>
    <w:uiPriority w:val="0"/>
    <w:pPr>
      <w:spacing w:afterLines="25" w:line="300" w:lineRule="auto"/>
      <w:ind w:left="2940" w:leftChars="1400"/>
    </w:pPr>
    <w:rPr>
      <w:rFonts w:ascii="Arial" w:hAnsi="Arial"/>
      <w:szCs w:val="24"/>
    </w:rPr>
  </w:style>
  <w:style w:type="paragraph" w:styleId="23">
    <w:name w:val="Date"/>
    <w:basedOn w:val="1"/>
    <w:next w:val="1"/>
    <w:link w:val="69"/>
    <w:qFormat/>
    <w:uiPriority w:val="0"/>
    <w:pPr>
      <w:autoSpaceDE w:val="0"/>
      <w:autoSpaceDN w:val="0"/>
      <w:adjustRightInd w:val="0"/>
      <w:textAlignment w:val="baseline"/>
    </w:pPr>
    <w:rPr>
      <w:rFonts w:ascii="宋体"/>
      <w:kern w:val="0"/>
      <w:sz w:val="28"/>
      <w:szCs w:val="20"/>
    </w:rPr>
  </w:style>
  <w:style w:type="paragraph" w:styleId="24">
    <w:name w:val="Body Text Indent 2"/>
    <w:basedOn w:val="1"/>
    <w:link w:val="70"/>
    <w:autoRedefine/>
    <w:qFormat/>
    <w:uiPriority w:val="0"/>
    <w:pPr>
      <w:spacing w:line="360" w:lineRule="auto"/>
      <w:ind w:left="840"/>
    </w:pPr>
    <w:rPr>
      <w:szCs w:val="24"/>
    </w:rPr>
  </w:style>
  <w:style w:type="paragraph" w:styleId="25">
    <w:name w:val="Balloon Text"/>
    <w:basedOn w:val="1"/>
    <w:link w:val="71"/>
    <w:unhideWhenUsed/>
    <w:qFormat/>
    <w:uiPriority w:val="0"/>
    <w:rPr>
      <w:kern w:val="0"/>
      <w:sz w:val="18"/>
      <w:szCs w:val="18"/>
    </w:rPr>
  </w:style>
  <w:style w:type="paragraph" w:styleId="26">
    <w:name w:val="footer"/>
    <w:basedOn w:val="1"/>
    <w:link w:val="72"/>
    <w:unhideWhenUsed/>
    <w:qFormat/>
    <w:uiPriority w:val="0"/>
    <w:pPr>
      <w:tabs>
        <w:tab w:val="center" w:pos="4153"/>
        <w:tab w:val="right" w:pos="8306"/>
      </w:tabs>
      <w:snapToGrid w:val="0"/>
      <w:jc w:val="left"/>
    </w:pPr>
    <w:rPr>
      <w:kern w:val="0"/>
      <w:sz w:val="18"/>
      <w:szCs w:val="18"/>
    </w:rPr>
  </w:style>
  <w:style w:type="paragraph" w:styleId="27">
    <w:name w:val="header"/>
    <w:basedOn w:val="1"/>
    <w:link w:val="7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afterLines="25" w:line="300" w:lineRule="auto"/>
    </w:pPr>
    <w:rPr>
      <w:rFonts w:ascii="Arial" w:hAnsi="Arial" w:eastAsia="黑体"/>
      <w:sz w:val="24"/>
      <w:szCs w:val="24"/>
    </w:rPr>
  </w:style>
  <w:style w:type="paragraph" w:styleId="29">
    <w:name w:val="toc 4"/>
    <w:basedOn w:val="1"/>
    <w:next w:val="1"/>
    <w:autoRedefine/>
    <w:qFormat/>
    <w:uiPriority w:val="0"/>
    <w:pPr>
      <w:spacing w:afterLines="25" w:line="300" w:lineRule="auto"/>
      <w:ind w:left="1260" w:leftChars="600"/>
    </w:pPr>
    <w:rPr>
      <w:rFonts w:ascii="Arial" w:hAnsi="Arial"/>
      <w:szCs w:val="24"/>
    </w:rPr>
  </w:style>
  <w:style w:type="paragraph" w:styleId="30">
    <w:name w:val="index heading"/>
    <w:basedOn w:val="1"/>
    <w:next w:val="31"/>
    <w:autoRedefine/>
    <w:semiHidden/>
    <w:qFormat/>
    <w:uiPriority w:val="0"/>
    <w:rPr>
      <w:szCs w:val="20"/>
    </w:rPr>
  </w:style>
  <w:style w:type="paragraph" w:styleId="31">
    <w:name w:val="index 1"/>
    <w:basedOn w:val="1"/>
    <w:next w:val="1"/>
    <w:autoRedefine/>
    <w:qFormat/>
    <w:uiPriority w:val="99"/>
    <w:pPr>
      <w:tabs>
        <w:tab w:val="left" w:pos="900"/>
      </w:tabs>
      <w:adjustRightInd w:val="0"/>
    </w:pPr>
    <w:rPr>
      <w:rFonts w:ascii="宋体" w:hAnsi="宋体" w:cs="Arial"/>
      <w:bCs/>
      <w:color w:val="000000"/>
      <w:szCs w:val="21"/>
    </w:rPr>
  </w:style>
  <w:style w:type="paragraph" w:styleId="32">
    <w:name w:val="footnote text"/>
    <w:basedOn w:val="1"/>
    <w:link w:val="74"/>
    <w:autoRedefine/>
    <w:qFormat/>
    <w:uiPriority w:val="0"/>
    <w:pPr>
      <w:autoSpaceDE w:val="0"/>
      <w:autoSpaceDN w:val="0"/>
      <w:adjustRightInd w:val="0"/>
      <w:snapToGrid w:val="0"/>
      <w:jc w:val="left"/>
    </w:pPr>
    <w:rPr>
      <w:kern w:val="0"/>
      <w:sz w:val="18"/>
      <w:szCs w:val="18"/>
    </w:rPr>
  </w:style>
  <w:style w:type="paragraph" w:styleId="33">
    <w:name w:val="toc 6"/>
    <w:basedOn w:val="1"/>
    <w:next w:val="1"/>
    <w:autoRedefine/>
    <w:qFormat/>
    <w:uiPriority w:val="0"/>
    <w:pPr>
      <w:spacing w:afterLines="25" w:line="300" w:lineRule="auto"/>
      <w:ind w:left="2100" w:leftChars="1000"/>
    </w:pPr>
    <w:rPr>
      <w:rFonts w:ascii="Arial" w:hAnsi="Arial"/>
      <w:szCs w:val="24"/>
    </w:rPr>
  </w:style>
  <w:style w:type="paragraph" w:styleId="34">
    <w:name w:val="Body Text Indent 3"/>
    <w:basedOn w:val="1"/>
    <w:link w:val="75"/>
    <w:autoRedefine/>
    <w:qFormat/>
    <w:uiPriority w:val="0"/>
    <w:pPr>
      <w:spacing w:line="360" w:lineRule="auto"/>
      <w:ind w:firstLine="482" w:firstLineChars="200"/>
    </w:pPr>
    <w:rPr>
      <w:rFonts w:ascii="宋体"/>
      <w:b/>
      <w:sz w:val="24"/>
      <w:szCs w:val="20"/>
    </w:rPr>
  </w:style>
  <w:style w:type="paragraph" w:styleId="35">
    <w:name w:val="toc 2"/>
    <w:basedOn w:val="1"/>
    <w:next w:val="1"/>
    <w:autoRedefine/>
    <w:qFormat/>
    <w:uiPriority w:val="39"/>
    <w:pPr>
      <w:spacing w:afterLines="25" w:line="300" w:lineRule="auto"/>
      <w:ind w:left="200" w:leftChars="200"/>
    </w:pPr>
    <w:rPr>
      <w:rFonts w:ascii="Arial" w:hAnsi="Arial"/>
      <w:szCs w:val="24"/>
    </w:rPr>
  </w:style>
  <w:style w:type="paragraph" w:styleId="36">
    <w:name w:val="toc 9"/>
    <w:basedOn w:val="1"/>
    <w:next w:val="1"/>
    <w:autoRedefine/>
    <w:qFormat/>
    <w:uiPriority w:val="0"/>
    <w:pPr>
      <w:spacing w:afterLines="25" w:line="300" w:lineRule="auto"/>
      <w:ind w:left="3360" w:leftChars="1600"/>
    </w:pPr>
    <w:rPr>
      <w:rFonts w:ascii="Arial" w:hAnsi="Arial"/>
      <w:szCs w:val="24"/>
    </w:rPr>
  </w:style>
  <w:style w:type="paragraph" w:styleId="37">
    <w:name w:val="Body Text 2"/>
    <w:basedOn w:val="1"/>
    <w:link w:val="76"/>
    <w:autoRedefine/>
    <w:qFormat/>
    <w:uiPriority w:val="0"/>
    <w:pPr>
      <w:spacing w:after="120" w:afterLines="25" w:line="480" w:lineRule="auto"/>
    </w:pPr>
    <w:rPr>
      <w:rFonts w:ascii="Arial" w:hAnsi="Arial"/>
      <w:szCs w:val="24"/>
    </w:rPr>
  </w:style>
  <w:style w:type="paragraph" w:styleId="38">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8"/>
    <w:autoRedefine/>
    <w:qFormat/>
    <w:uiPriority w:val="10"/>
    <w:pPr>
      <w:spacing w:before="240" w:after="60"/>
      <w:jc w:val="center"/>
      <w:outlineLvl w:val="0"/>
    </w:pPr>
    <w:rPr>
      <w:rFonts w:ascii="Cambria" w:hAnsi="Cambria"/>
      <w:b/>
      <w:bCs/>
      <w:kern w:val="0"/>
      <w:sz w:val="32"/>
      <w:szCs w:val="32"/>
    </w:rPr>
  </w:style>
  <w:style w:type="paragraph" w:styleId="41">
    <w:name w:val="annotation subject"/>
    <w:basedOn w:val="16"/>
    <w:next w:val="16"/>
    <w:link w:val="79"/>
    <w:unhideWhenUsed/>
    <w:qFormat/>
    <w:uiPriority w:val="0"/>
    <w:rPr>
      <w:b/>
      <w:bCs/>
      <w:kern w:val="0"/>
      <w:sz w:val="20"/>
      <w:szCs w:val="20"/>
    </w:rPr>
  </w:style>
  <w:style w:type="paragraph" w:styleId="42">
    <w:name w:val="Body Text First Indent 2"/>
    <w:basedOn w:val="18"/>
    <w:link w:val="80"/>
    <w:autoRedefine/>
    <w:qFormat/>
    <w:uiPriority w:val="0"/>
    <w:pPr>
      <w:keepNext/>
      <w:keepLines/>
      <w:spacing w:after="0" w:line="380" w:lineRule="exact"/>
      <w:ind w:left="0" w:leftChars="0" w:firstLine="480"/>
      <w:jc w:val="left"/>
      <w:outlineLvl w:val="3"/>
    </w:pPr>
    <w:rPr>
      <w:rFonts w:eastAsia="方正书宋简体"/>
      <w:b/>
      <w:bCs/>
      <w:sz w:val="28"/>
      <w:szCs w:val="28"/>
    </w:rPr>
  </w:style>
  <w:style w:type="table" w:styleId="44">
    <w:name w:val="Table Grid"/>
    <w:basedOn w:val="4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b/>
      <w:bCs/>
    </w:rPr>
  </w:style>
  <w:style w:type="character" w:styleId="47">
    <w:name w:val="page number"/>
    <w:autoRedefine/>
    <w:qFormat/>
    <w:uiPriority w:val="0"/>
  </w:style>
  <w:style w:type="character" w:styleId="48">
    <w:name w:val="FollowedHyperlink"/>
    <w:autoRedefine/>
    <w:qFormat/>
    <w:uiPriority w:val="0"/>
    <w:rPr>
      <w:color w:val="800080"/>
      <w:u w:val="single"/>
    </w:rPr>
  </w:style>
  <w:style w:type="character" w:styleId="49">
    <w:name w:val="Emphasis"/>
    <w:qFormat/>
    <w:uiPriority w:val="20"/>
    <w:rPr>
      <w:i/>
    </w:rPr>
  </w:style>
  <w:style w:type="character" w:styleId="50">
    <w:name w:val="Hyperlink"/>
    <w:autoRedefine/>
    <w:qFormat/>
    <w:uiPriority w:val="99"/>
    <w:rPr>
      <w:color w:val="0000FF"/>
      <w:u w:val="single"/>
    </w:rPr>
  </w:style>
  <w:style w:type="character" w:styleId="51">
    <w:name w:val="annotation reference"/>
    <w:autoRedefine/>
    <w:unhideWhenUsed/>
    <w:qFormat/>
    <w:uiPriority w:val="0"/>
    <w:rPr>
      <w:sz w:val="21"/>
      <w:szCs w:val="21"/>
    </w:rPr>
  </w:style>
  <w:style w:type="character" w:styleId="52">
    <w:name w:val="footnote reference"/>
    <w:autoRedefine/>
    <w:qFormat/>
    <w:uiPriority w:val="0"/>
    <w:rPr>
      <w:vertAlign w:val="superscript"/>
    </w:rPr>
  </w:style>
  <w:style w:type="character" w:customStyle="1" w:styleId="53">
    <w:name w:val="正文文本 字符"/>
    <w:link w:val="2"/>
    <w:autoRedefine/>
    <w:qFormat/>
    <w:uiPriority w:val="0"/>
    <w:rPr>
      <w:kern w:val="2"/>
      <w:sz w:val="21"/>
      <w:szCs w:val="22"/>
    </w:rPr>
  </w:style>
  <w:style w:type="character" w:customStyle="1" w:styleId="54">
    <w:name w:val="标题 1 字符"/>
    <w:link w:val="3"/>
    <w:autoRedefine/>
    <w:qFormat/>
    <w:uiPriority w:val="0"/>
    <w:rPr>
      <w:b/>
      <w:bCs/>
      <w:kern w:val="44"/>
      <w:sz w:val="44"/>
      <w:szCs w:val="44"/>
    </w:rPr>
  </w:style>
  <w:style w:type="character" w:customStyle="1" w:styleId="55">
    <w:name w:val="标题 2 字符"/>
    <w:link w:val="4"/>
    <w:autoRedefine/>
    <w:qFormat/>
    <w:uiPriority w:val="0"/>
    <w:rPr>
      <w:rFonts w:ascii="Arial" w:hAnsi="Arial" w:eastAsia="黑体" w:cs="Times New Roman"/>
      <w:b/>
      <w:bCs/>
      <w:sz w:val="32"/>
      <w:szCs w:val="32"/>
    </w:rPr>
  </w:style>
  <w:style w:type="character" w:customStyle="1" w:styleId="56">
    <w:name w:val="标题 3 字符"/>
    <w:link w:val="5"/>
    <w:qFormat/>
    <w:uiPriority w:val="0"/>
    <w:rPr>
      <w:b/>
      <w:bCs/>
      <w:kern w:val="2"/>
      <w:sz w:val="32"/>
      <w:szCs w:val="32"/>
    </w:rPr>
  </w:style>
  <w:style w:type="character" w:customStyle="1" w:styleId="57">
    <w:name w:val="标题 4 字符"/>
    <w:link w:val="6"/>
    <w:autoRedefine/>
    <w:qFormat/>
    <w:uiPriority w:val="0"/>
    <w:rPr>
      <w:rFonts w:ascii="Cambria" w:hAnsi="Cambria" w:eastAsia="宋体" w:cs="Times New Roman"/>
      <w:b/>
      <w:bCs/>
      <w:kern w:val="2"/>
      <w:sz w:val="28"/>
      <w:szCs w:val="28"/>
    </w:rPr>
  </w:style>
  <w:style w:type="character" w:customStyle="1" w:styleId="58">
    <w:name w:val="标题 5 字符"/>
    <w:link w:val="7"/>
    <w:autoRedefine/>
    <w:qFormat/>
    <w:uiPriority w:val="0"/>
    <w:rPr>
      <w:b/>
      <w:bCs/>
      <w:kern w:val="2"/>
      <w:sz w:val="28"/>
      <w:szCs w:val="28"/>
    </w:rPr>
  </w:style>
  <w:style w:type="character" w:customStyle="1" w:styleId="59">
    <w:name w:val="标题 6 字符"/>
    <w:link w:val="8"/>
    <w:autoRedefine/>
    <w:qFormat/>
    <w:uiPriority w:val="0"/>
    <w:rPr>
      <w:rFonts w:ascii="Arial" w:hAnsi="Arial" w:eastAsia="黑体"/>
      <w:b/>
      <w:bCs/>
      <w:sz w:val="24"/>
      <w:szCs w:val="24"/>
    </w:rPr>
  </w:style>
  <w:style w:type="character" w:customStyle="1" w:styleId="60">
    <w:name w:val="标题 7 字符"/>
    <w:link w:val="9"/>
    <w:autoRedefine/>
    <w:qFormat/>
    <w:uiPriority w:val="0"/>
    <w:rPr>
      <w:b/>
      <w:kern w:val="2"/>
      <w:sz w:val="28"/>
    </w:rPr>
  </w:style>
  <w:style w:type="character" w:customStyle="1" w:styleId="61">
    <w:name w:val="正文缩进 字符"/>
    <w:link w:val="10"/>
    <w:autoRedefine/>
    <w:qFormat/>
    <w:locked/>
    <w:uiPriority w:val="0"/>
    <w:rPr>
      <w:rFonts w:ascii="Arial" w:hAnsi="Arial"/>
      <w:kern w:val="2"/>
      <w:sz w:val="21"/>
      <w:szCs w:val="24"/>
    </w:rPr>
  </w:style>
  <w:style w:type="character" w:customStyle="1" w:styleId="62">
    <w:name w:val="标题 8 字符"/>
    <w:link w:val="11"/>
    <w:autoRedefine/>
    <w:qFormat/>
    <w:uiPriority w:val="0"/>
    <w:rPr>
      <w:rFonts w:ascii="Arial" w:hAnsi="Arial" w:eastAsia="黑体"/>
      <w:kern w:val="2"/>
      <w:sz w:val="28"/>
    </w:rPr>
  </w:style>
  <w:style w:type="character" w:customStyle="1" w:styleId="63">
    <w:name w:val="标题 9 字符"/>
    <w:link w:val="12"/>
    <w:autoRedefine/>
    <w:qFormat/>
    <w:uiPriority w:val="0"/>
    <w:rPr>
      <w:rFonts w:ascii="Arial" w:hAnsi="Arial" w:eastAsia="黑体"/>
      <w:kern w:val="2"/>
      <w:sz w:val="21"/>
    </w:rPr>
  </w:style>
  <w:style w:type="character" w:customStyle="1" w:styleId="64">
    <w:name w:val="文档结构图 字符"/>
    <w:link w:val="15"/>
    <w:autoRedefine/>
    <w:qFormat/>
    <w:uiPriority w:val="0"/>
    <w:rPr>
      <w:rFonts w:ascii="Arial" w:hAnsi="Arial"/>
      <w:kern w:val="2"/>
      <w:sz w:val="21"/>
      <w:szCs w:val="24"/>
      <w:shd w:val="clear" w:color="auto" w:fill="000080"/>
    </w:rPr>
  </w:style>
  <w:style w:type="character" w:customStyle="1" w:styleId="65">
    <w:name w:val="批注文字 字符"/>
    <w:link w:val="16"/>
    <w:autoRedefine/>
    <w:qFormat/>
    <w:uiPriority w:val="99"/>
  </w:style>
  <w:style w:type="character" w:customStyle="1" w:styleId="66">
    <w:name w:val="正文文本 3 字符"/>
    <w:link w:val="17"/>
    <w:autoRedefine/>
    <w:qFormat/>
    <w:uiPriority w:val="0"/>
    <w:rPr>
      <w:kern w:val="2"/>
      <w:sz w:val="16"/>
    </w:rPr>
  </w:style>
  <w:style w:type="character" w:customStyle="1" w:styleId="67">
    <w:name w:val="正文文本缩进 字符"/>
    <w:link w:val="18"/>
    <w:autoRedefine/>
    <w:qFormat/>
    <w:uiPriority w:val="0"/>
    <w:rPr>
      <w:kern w:val="2"/>
      <w:sz w:val="21"/>
      <w:szCs w:val="22"/>
    </w:rPr>
  </w:style>
  <w:style w:type="character" w:customStyle="1" w:styleId="68">
    <w:name w:val="纯文本 字符1"/>
    <w:link w:val="21"/>
    <w:autoRedefine/>
    <w:qFormat/>
    <w:uiPriority w:val="0"/>
    <w:rPr>
      <w:rFonts w:ascii="宋体" w:hAnsi="Courier New" w:eastAsia="宋体" w:cs="Times New Roman"/>
      <w:kern w:val="0"/>
      <w:sz w:val="20"/>
      <w:szCs w:val="21"/>
    </w:rPr>
  </w:style>
  <w:style w:type="character" w:customStyle="1" w:styleId="69">
    <w:name w:val="日期 字符"/>
    <w:link w:val="23"/>
    <w:autoRedefine/>
    <w:qFormat/>
    <w:uiPriority w:val="0"/>
    <w:rPr>
      <w:rFonts w:ascii="宋体"/>
      <w:sz w:val="28"/>
    </w:rPr>
  </w:style>
  <w:style w:type="character" w:customStyle="1" w:styleId="70">
    <w:name w:val="正文文本缩进 2 字符"/>
    <w:link w:val="24"/>
    <w:autoRedefine/>
    <w:qFormat/>
    <w:uiPriority w:val="0"/>
    <w:rPr>
      <w:kern w:val="2"/>
      <w:sz w:val="21"/>
      <w:szCs w:val="24"/>
    </w:rPr>
  </w:style>
  <w:style w:type="character" w:customStyle="1" w:styleId="71">
    <w:name w:val="批注框文本 字符"/>
    <w:link w:val="25"/>
    <w:autoRedefine/>
    <w:qFormat/>
    <w:uiPriority w:val="0"/>
    <w:rPr>
      <w:sz w:val="18"/>
      <w:szCs w:val="18"/>
    </w:rPr>
  </w:style>
  <w:style w:type="character" w:customStyle="1" w:styleId="72">
    <w:name w:val="页脚 字符"/>
    <w:link w:val="26"/>
    <w:autoRedefine/>
    <w:qFormat/>
    <w:uiPriority w:val="0"/>
    <w:rPr>
      <w:sz w:val="18"/>
      <w:szCs w:val="18"/>
    </w:rPr>
  </w:style>
  <w:style w:type="character" w:customStyle="1" w:styleId="73">
    <w:name w:val="页眉 字符"/>
    <w:link w:val="27"/>
    <w:autoRedefine/>
    <w:qFormat/>
    <w:uiPriority w:val="0"/>
    <w:rPr>
      <w:sz w:val="18"/>
      <w:szCs w:val="18"/>
    </w:rPr>
  </w:style>
  <w:style w:type="character" w:customStyle="1" w:styleId="74">
    <w:name w:val="脚注文本 字符"/>
    <w:link w:val="32"/>
    <w:autoRedefine/>
    <w:qFormat/>
    <w:uiPriority w:val="0"/>
    <w:rPr>
      <w:sz w:val="18"/>
      <w:szCs w:val="18"/>
    </w:rPr>
  </w:style>
  <w:style w:type="character" w:customStyle="1" w:styleId="75">
    <w:name w:val="正文文本缩进 3 字符"/>
    <w:link w:val="34"/>
    <w:autoRedefine/>
    <w:qFormat/>
    <w:uiPriority w:val="0"/>
    <w:rPr>
      <w:rFonts w:ascii="宋体"/>
      <w:b/>
      <w:kern w:val="2"/>
      <w:sz w:val="24"/>
    </w:rPr>
  </w:style>
  <w:style w:type="character" w:customStyle="1" w:styleId="76">
    <w:name w:val="正文文本 2 字符"/>
    <w:link w:val="37"/>
    <w:autoRedefine/>
    <w:qFormat/>
    <w:uiPriority w:val="0"/>
    <w:rPr>
      <w:rFonts w:ascii="Arial" w:hAnsi="Arial"/>
      <w:kern w:val="2"/>
      <w:sz w:val="21"/>
      <w:szCs w:val="24"/>
    </w:rPr>
  </w:style>
  <w:style w:type="character" w:customStyle="1" w:styleId="77">
    <w:name w:val="HTML 预设格式 字符"/>
    <w:link w:val="38"/>
    <w:autoRedefine/>
    <w:qFormat/>
    <w:uiPriority w:val="0"/>
    <w:rPr>
      <w:rFonts w:ascii="Arial Unicode MS" w:hAnsi="Arial Unicode MS" w:eastAsia="Arial Unicode MS"/>
      <w:color w:val="000000"/>
    </w:rPr>
  </w:style>
  <w:style w:type="character" w:customStyle="1" w:styleId="78">
    <w:name w:val="标题 字符"/>
    <w:link w:val="40"/>
    <w:autoRedefine/>
    <w:qFormat/>
    <w:uiPriority w:val="10"/>
    <w:rPr>
      <w:rFonts w:ascii="Cambria" w:hAnsi="Cambria" w:eastAsia="宋体" w:cs="Times New Roman"/>
      <w:b/>
      <w:bCs/>
      <w:sz w:val="32"/>
      <w:szCs w:val="32"/>
    </w:rPr>
  </w:style>
  <w:style w:type="character" w:customStyle="1" w:styleId="79">
    <w:name w:val="批注主题 字符"/>
    <w:link w:val="41"/>
    <w:autoRedefine/>
    <w:qFormat/>
    <w:uiPriority w:val="0"/>
    <w:rPr>
      <w:b/>
      <w:bCs/>
    </w:rPr>
  </w:style>
  <w:style w:type="character" w:customStyle="1" w:styleId="80">
    <w:name w:val="正文文本首行缩进 2 字符"/>
    <w:link w:val="42"/>
    <w:autoRedefine/>
    <w:qFormat/>
    <w:uiPriority w:val="0"/>
    <w:rPr>
      <w:rFonts w:eastAsia="方正书宋简体"/>
      <w:b/>
      <w:bCs/>
      <w:kern w:val="2"/>
      <w:sz w:val="28"/>
      <w:szCs w:val="28"/>
    </w:rPr>
  </w:style>
  <w:style w:type="character" w:customStyle="1" w:styleId="81">
    <w:name w:val="样式1 Char Char Char"/>
    <w:link w:val="82"/>
    <w:autoRedefine/>
    <w:qFormat/>
    <w:uiPriority w:val="0"/>
    <w:rPr>
      <w:kern w:val="2"/>
      <w:sz w:val="24"/>
    </w:rPr>
  </w:style>
  <w:style w:type="paragraph" w:customStyle="1" w:styleId="82">
    <w:name w:val="样式1 Char Char"/>
    <w:basedOn w:val="1"/>
    <w:next w:val="21"/>
    <w:link w:val="81"/>
    <w:autoRedefine/>
    <w:qFormat/>
    <w:uiPriority w:val="0"/>
    <w:pPr>
      <w:spacing w:line="360" w:lineRule="auto"/>
      <w:ind w:firstLine="516" w:firstLineChars="215"/>
    </w:pPr>
    <w:rPr>
      <w:sz w:val="24"/>
      <w:szCs w:val="20"/>
    </w:rPr>
  </w:style>
  <w:style w:type="character" w:customStyle="1" w:styleId="83">
    <w:name w:val="脚注文本 Char1"/>
    <w:autoRedefine/>
    <w:semiHidden/>
    <w:qFormat/>
    <w:uiPriority w:val="99"/>
    <w:rPr>
      <w:kern w:val="2"/>
      <w:sz w:val="18"/>
      <w:szCs w:val="18"/>
    </w:rPr>
  </w:style>
  <w:style w:type="character" w:customStyle="1" w:styleId="84">
    <w:name w:val="列表段落 字符"/>
    <w:link w:val="85"/>
    <w:autoRedefine/>
    <w:qFormat/>
    <w:uiPriority w:val="34"/>
  </w:style>
  <w:style w:type="paragraph" w:styleId="85">
    <w:name w:val="List Paragraph"/>
    <w:basedOn w:val="1"/>
    <w:link w:val="84"/>
    <w:autoRedefine/>
    <w:qFormat/>
    <w:uiPriority w:val="34"/>
    <w:pPr>
      <w:ind w:firstLine="420" w:firstLineChars="200"/>
    </w:pPr>
  </w:style>
  <w:style w:type="character" w:customStyle="1" w:styleId="86">
    <w:name w:val="f141"/>
    <w:autoRedefine/>
    <w:qFormat/>
    <w:uiPriority w:val="0"/>
    <w:rPr>
      <w:sz w:val="21"/>
      <w:szCs w:val="21"/>
    </w:rPr>
  </w:style>
  <w:style w:type="character" w:customStyle="1" w:styleId="87">
    <w:name w:val="p141"/>
    <w:autoRedefine/>
    <w:qFormat/>
    <w:uiPriority w:val="0"/>
    <w:rPr>
      <w:sz w:val="21"/>
      <w:szCs w:val="21"/>
    </w:rPr>
  </w:style>
  <w:style w:type="character" w:customStyle="1" w:styleId="88">
    <w:name w:val="纯文本 字符"/>
    <w:autoRedefine/>
    <w:qFormat/>
    <w:uiPriority w:val="0"/>
    <w:rPr>
      <w:rFonts w:ascii="宋体" w:hAnsi="Courier New" w:eastAsia="宋体" w:cs="Times New Roman"/>
      <w:kern w:val="2"/>
      <w:sz w:val="21"/>
    </w:rPr>
  </w:style>
  <w:style w:type="character" w:customStyle="1" w:styleId="89">
    <w:name w:val="font01"/>
    <w:autoRedefine/>
    <w:qFormat/>
    <w:uiPriority w:val="0"/>
    <w:rPr>
      <w:rFonts w:hint="eastAsia" w:ascii="宋体" w:hAnsi="宋体" w:eastAsia="宋体" w:cs="宋体"/>
      <w:color w:val="000000"/>
      <w:sz w:val="24"/>
      <w:szCs w:val="24"/>
      <w:u w:val="none"/>
    </w:rPr>
  </w:style>
  <w:style w:type="character" w:customStyle="1" w:styleId="90">
    <w:name w:val="List Paragraph Char"/>
    <w:link w:val="91"/>
    <w:autoRedefine/>
    <w:qFormat/>
    <w:locked/>
    <w:uiPriority w:val="34"/>
    <w:rPr>
      <w:rFonts w:ascii="Times New Roman" w:hAnsi="Times New Roman" w:eastAsia="宋体" w:cs="Times New Roman"/>
      <w:szCs w:val="21"/>
    </w:rPr>
  </w:style>
  <w:style w:type="paragraph" w:customStyle="1" w:styleId="91">
    <w:name w:val="列出段落1"/>
    <w:basedOn w:val="1"/>
    <w:link w:val="90"/>
    <w:autoRedefine/>
    <w:qFormat/>
    <w:uiPriority w:val="34"/>
    <w:pPr>
      <w:ind w:firstLine="420" w:firstLineChars="200"/>
    </w:pPr>
    <w:rPr>
      <w:kern w:val="0"/>
      <w:sz w:val="20"/>
      <w:szCs w:val="21"/>
    </w:rPr>
  </w:style>
  <w:style w:type="character" w:customStyle="1" w:styleId="92">
    <w:name w:val="列表段落 字符1"/>
    <w:autoRedefine/>
    <w:qFormat/>
    <w:uiPriority w:val="0"/>
  </w:style>
  <w:style w:type="character" w:customStyle="1" w:styleId="93">
    <w:name w:val="纯文本 Char1"/>
    <w:autoRedefine/>
    <w:qFormat/>
    <w:uiPriority w:val="0"/>
    <w:rPr>
      <w:rFonts w:ascii="宋体" w:hAnsi="Courier New" w:eastAsia="宋体" w:cs="Times New Roman"/>
      <w:kern w:val="0"/>
      <w:sz w:val="20"/>
      <w:szCs w:val="21"/>
    </w:rPr>
  </w:style>
  <w:style w:type="character" w:customStyle="1" w:styleId="94">
    <w:name w:val="yiyuan21"/>
    <w:autoRedefine/>
    <w:qFormat/>
    <w:uiPriority w:val="0"/>
    <w:rPr>
      <w:rFonts w:hint="default" w:ascii="Hei" w:hAnsi="Hei"/>
      <w:sz w:val="20"/>
    </w:rPr>
  </w:style>
  <w:style w:type="character" w:customStyle="1" w:styleId="95">
    <w:name w:val="main1"/>
    <w:autoRedefine/>
    <w:qFormat/>
    <w:uiPriority w:val="0"/>
    <w:rPr>
      <w:color w:val="333333"/>
      <w:spacing w:val="336"/>
      <w:sz w:val="24"/>
      <w:szCs w:val="24"/>
    </w:rPr>
  </w:style>
  <w:style w:type="character" w:customStyle="1" w:styleId="96">
    <w:name w:val="s10pv000000"/>
    <w:autoRedefine/>
    <w:qFormat/>
    <w:uiPriority w:val="0"/>
  </w:style>
  <w:style w:type="character" w:customStyle="1" w:styleId="97">
    <w:name w:val="Char Char2"/>
    <w:autoRedefine/>
    <w:qFormat/>
    <w:uiPriority w:val="0"/>
    <w:rPr>
      <w:rFonts w:ascii="Arial" w:hAnsi="Arial" w:eastAsia="宋体"/>
      <w:b/>
      <w:bCs/>
      <w:kern w:val="44"/>
      <w:sz w:val="44"/>
      <w:szCs w:val="44"/>
      <w:lang w:val="en-US" w:eastAsia="zh-CN" w:bidi="ar-SA"/>
    </w:rPr>
  </w:style>
  <w:style w:type="character" w:customStyle="1" w:styleId="98">
    <w:name w:val="font31"/>
    <w:autoRedefine/>
    <w:qFormat/>
    <w:uiPriority w:val="0"/>
    <w:rPr>
      <w:rFonts w:hint="eastAsia" w:ascii="宋体" w:hAnsi="宋体" w:eastAsia="宋体" w:cs="宋体"/>
      <w:b/>
      <w:color w:val="000000"/>
      <w:kern w:val="0"/>
      <w:sz w:val="24"/>
      <w:szCs w:val="24"/>
      <w:u w:val="none"/>
    </w:rPr>
  </w:style>
  <w:style w:type="character" w:customStyle="1" w:styleId="99">
    <w:name w:val="font61"/>
    <w:autoRedefine/>
    <w:qFormat/>
    <w:uiPriority w:val="0"/>
    <w:rPr>
      <w:rFonts w:hint="eastAsia" w:ascii="宋体" w:hAnsi="宋体" w:eastAsia="宋体" w:cs="宋体"/>
      <w:color w:val="000000"/>
      <w:sz w:val="22"/>
      <w:szCs w:val="22"/>
      <w:u w:val="none"/>
    </w:rPr>
  </w:style>
  <w:style w:type="character" w:customStyle="1" w:styleId="100">
    <w:name w:val="样式 段后: 3.0 磅 行距: 1.5 倍行距 Char Char"/>
    <w:link w:val="101"/>
    <w:autoRedefine/>
    <w:qFormat/>
    <w:uiPriority w:val="0"/>
    <w:rPr>
      <w:rFonts w:cs="宋体"/>
      <w:kern w:val="2"/>
      <w:sz w:val="21"/>
    </w:rPr>
  </w:style>
  <w:style w:type="paragraph" w:customStyle="1" w:styleId="101">
    <w:name w:val="样式 段后: 3.0 磅 行距: 1.5 倍行距"/>
    <w:basedOn w:val="1"/>
    <w:link w:val="100"/>
    <w:autoRedefine/>
    <w:qFormat/>
    <w:uiPriority w:val="0"/>
    <w:pPr>
      <w:spacing w:line="360" w:lineRule="auto"/>
    </w:pPr>
    <w:rPr>
      <w:rFonts w:cs="宋体"/>
      <w:szCs w:val="20"/>
    </w:rPr>
  </w:style>
  <w:style w:type="paragraph" w:customStyle="1" w:styleId="102">
    <w:name w:val="样式2"/>
    <w:basedOn w:val="40"/>
    <w:next w:val="103"/>
    <w:autoRedefine/>
    <w:qFormat/>
    <w:uiPriority w:val="0"/>
    <w:pPr>
      <w:spacing w:before="120" w:after="120"/>
    </w:pPr>
    <w:rPr>
      <w:rFonts w:ascii="Arial" w:hAnsi="Arial" w:eastAsia="黑体"/>
      <w:b w:val="0"/>
      <w:bCs w:val="0"/>
      <w:kern w:val="2"/>
      <w:sz w:val="30"/>
      <w:szCs w:val="20"/>
    </w:rPr>
  </w:style>
  <w:style w:type="paragraph" w:customStyle="1" w:styleId="103">
    <w:name w:val="样式1"/>
    <w:basedOn w:val="40"/>
    <w:autoRedefine/>
    <w:qFormat/>
    <w:uiPriority w:val="0"/>
    <w:pPr>
      <w:spacing w:before="0" w:after="0" w:line="240" w:lineRule="atLeast"/>
      <w:outlineLvl w:val="9"/>
    </w:pPr>
    <w:rPr>
      <w:rFonts w:ascii="宋体" w:hAnsi="宋体"/>
      <w:bCs w:val="0"/>
      <w:kern w:val="2"/>
      <w:sz w:val="28"/>
      <w:szCs w:val="20"/>
    </w:rPr>
  </w:style>
  <w:style w:type="paragraph" w:customStyle="1" w:styleId="104">
    <w:name w:val="3 Char"/>
    <w:basedOn w:val="1"/>
    <w:autoRedefine/>
    <w:qFormat/>
    <w:uiPriority w:val="0"/>
    <w:pPr>
      <w:widowControl/>
      <w:spacing w:line="400" w:lineRule="exact"/>
      <w:jc w:val="center"/>
    </w:pPr>
    <w:rPr>
      <w:rFonts w:ascii="Verdana" w:hAnsi="Verdana"/>
      <w:kern w:val="0"/>
      <w:szCs w:val="20"/>
      <w:lang w:eastAsia="en-US"/>
    </w:rPr>
  </w:style>
  <w:style w:type="paragraph" w:customStyle="1" w:styleId="105">
    <w:name w:val="Char Char Char Char Char Char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06">
    <w:name w:val="正文 居中"/>
    <w:basedOn w:val="1"/>
    <w:autoRedefine/>
    <w:qFormat/>
    <w:uiPriority w:val="0"/>
    <w:pPr>
      <w:spacing w:line="360" w:lineRule="auto"/>
      <w:jc w:val="center"/>
    </w:pPr>
    <w:rPr>
      <w:sz w:val="24"/>
      <w:szCs w:val="20"/>
    </w:rPr>
  </w:style>
  <w:style w:type="paragraph" w:customStyle="1" w:styleId="107">
    <w:name w:val="默认段落字体 Para Char"/>
    <w:basedOn w:val="1"/>
    <w:autoRedefine/>
    <w:qFormat/>
    <w:uiPriority w:val="0"/>
    <w:rPr>
      <w:szCs w:val="24"/>
    </w:rPr>
  </w:style>
  <w:style w:type="paragraph" w:customStyle="1" w:styleId="108">
    <w:name w:val="Char5 Char Char Char Char Char Char Char"/>
    <w:basedOn w:val="4"/>
    <w:autoRedefine/>
    <w:qFormat/>
    <w:uiPriority w:val="0"/>
    <w:pPr>
      <w:tabs>
        <w:tab w:val="left" w:pos="1800"/>
      </w:tabs>
      <w:spacing w:after="78" w:afterLines="25" w:line="300" w:lineRule="auto"/>
    </w:pPr>
    <w:rPr>
      <w:rFonts w:ascii="黑体" w:eastAsia="宋体" w:cs="Arial"/>
      <w:kern w:val="2"/>
      <w:sz w:val="28"/>
      <w:szCs w:val="30"/>
    </w:rPr>
  </w:style>
  <w:style w:type="paragraph" w:customStyle="1" w:styleId="109">
    <w:name w:val="Char Char Char"/>
    <w:basedOn w:val="1"/>
    <w:autoRedefine/>
    <w:qFormat/>
    <w:uiPriority w:val="0"/>
    <w:rPr>
      <w:rFonts w:ascii="Arial" w:hAnsi="Arial"/>
      <w:szCs w:val="24"/>
    </w:rPr>
  </w:style>
  <w:style w:type="paragraph" w:customStyle="1" w:styleId="110">
    <w:name w:val="样式 标题 4 + 段前: 5 磅 段后: 5 磅 行距: 单倍行距"/>
    <w:basedOn w:val="6"/>
    <w:autoRedefine/>
    <w:qFormat/>
    <w:uiPriority w:val="0"/>
    <w:pPr>
      <w:numPr>
        <w:ilvl w:val="3"/>
        <w:numId w:val="2"/>
      </w:numPr>
      <w:tabs>
        <w:tab w:val="left" w:pos="1680"/>
      </w:tabs>
      <w:adjustRightInd w:val="0"/>
      <w:spacing w:before="100" w:after="100" w:line="240" w:lineRule="auto"/>
      <w:jc w:val="left"/>
      <w:textAlignment w:val="baseline"/>
    </w:pPr>
    <w:rPr>
      <w:rFonts w:ascii="Arial" w:hAnsi="Arial" w:eastAsia="黑体"/>
      <w:bCs w:val="0"/>
      <w:kern w:val="0"/>
      <w:szCs w:val="20"/>
    </w:rPr>
  </w:style>
  <w:style w:type="paragraph" w:customStyle="1" w:styleId="111">
    <w:name w:val="Char5 Char Char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12">
    <w:name w:val="文档正文"/>
    <w:basedOn w:val="1"/>
    <w:autoRedefine/>
    <w:qFormat/>
    <w:uiPriority w:val="0"/>
    <w:pPr>
      <w:spacing w:line="360" w:lineRule="auto"/>
    </w:pPr>
    <w:rPr>
      <w:rFonts w:ascii="Arial" w:hAnsi="Arial" w:cs="Arial"/>
      <w:bCs/>
      <w:szCs w:val="24"/>
    </w:rPr>
  </w:style>
  <w:style w:type="paragraph" w:customStyle="1" w:styleId="11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olor w:val="FF0000"/>
      <w:kern w:val="0"/>
      <w:sz w:val="24"/>
      <w:szCs w:val="20"/>
    </w:rPr>
  </w:style>
  <w:style w:type="paragraph" w:customStyle="1" w:styleId="114">
    <w:name w:val="Char5 Char Char Char Char Char 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15">
    <w:name w:val="font9"/>
    <w:basedOn w:val="1"/>
    <w:autoRedefine/>
    <w:qFormat/>
    <w:uiPriority w:val="0"/>
    <w:pPr>
      <w:widowControl/>
      <w:spacing w:before="100" w:beforeAutospacing="1" w:afterAutospacing="1"/>
      <w:jc w:val="left"/>
    </w:pPr>
    <w:rPr>
      <w:rFonts w:hint="eastAsia" w:ascii="宋体" w:hAnsi="宋体"/>
      <w:kern w:val="0"/>
      <w:sz w:val="24"/>
      <w:szCs w:val="20"/>
    </w:rPr>
  </w:style>
  <w:style w:type="paragraph" w:customStyle="1" w:styleId="116">
    <w:name w:val="表格"/>
    <w:basedOn w:val="1"/>
    <w:autoRedefine/>
    <w:qFormat/>
    <w:uiPriority w:val="0"/>
    <w:pPr>
      <w:spacing w:line="420" w:lineRule="exact"/>
      <w:ind w:left="84" w:leftChars="40"/>
      <w:jc w:val="center"/>
    </w:pPr>
    <w:rPr>
      <w:rFonts w:ascii="宋体" w:hAnsi="宋体"/>
      <w:bCs/>
      <w:spacing w:val="-12"/>
      <w:szCs w:val="24"/>
    </w:rPr>
  </w:style>
  <w:style w:type="paragraph" w:customStyle="1" w:styleId="117">
    <w:name w:val="1册标题2"/>
    <w:basedOn w:val="1"/>
    <w:next w:val="1"/>
    <w:autoRedefine/>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118">
    <w:name w:val="2册标题1"/>
    <w:basedOn w:val="1"/>
    <w:next w:val="1"/>
    <w:autoRedefine/>
    <w:qFormat/>
    <w:uiPriority w:val="0"/>
    <w:pPr>
      <w:spacing w:beforeLines="50" w:afterLines="50" w:line="300" w:lineRule="auto"/>
      <w:jc w:val="center"/>
      <w:outlineLvl w:val="0"/>
    </w:pPr>
    <w:rPr>
      <w:rFonts w:ascii="Arial" w:hAnsi="Arial" w:eastAsia="黑体"/>
      <w:sz w:val="32"/>
      <w:szCs w:val="32"/>
    </w:rPr>
  </w:style>
  <w:style w:type="paragraph" w:customStyle="1" w:styleId="119">
    <w:name w:val="样式4"/>
    <w:basedOn w:val="1"/>
    <w:autoRedefine/>
    <w:qFormat/>
    <w:uiPriority w:val="0"/>
    <w:pPr>
      <w:tabs>
        <w:tab w:val="left" w:pos="425"/>
        <w:tab w:val="left" w:pos="1984"/>
      </w:tabs>
      <w:ind w:left="851" w:hanging="851"/>
    </w:pPr>
    <w:rPr>
      <w:rFonts w:ascii="Times New Roman" w:hAnsi="Times New Roman" w:cs="Times New Roman"/>
      <w:szCs w:val="24"/>
    </w:rPr>
  </w:style>
  <w:style w:type="paragraph" w:customStyle="1" w:styleId="120">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22">
    <w:name w:val="Char Char Char Char"/>
    <w:basedOn w:val="1"/>
    <w:autoRedefine/>
    <w:qFormat/>
    <w:uiPriority w:val="0"/>
    <w:pPr>
      <w:widowControl/>
      <w:spacing w:line="240" w:lineRule="exact"/>
      <w:jc w:val="left"/>
    </w:pPr>
    <w:rPr>
      <w:szCs w:val="24"/>
    </w:rPr>
  </w:style>
  <w:style w:type="paragraph" w:customStyle="1" w:styleId="123">
    <w:name w:val="2册标题3"/>
    <w:basedOn w:val="1"/>
    <w:next w:val="1"/>
    <w:autoRedefine/>
    <w:qFormat/>
    <w:uiPriority w:val="0"/>
    <w:pPr>
      <w:spacing w:beforeLines="50" w:afterLines="50" w:line="300" w:lineRule="auto"/>
      <w:ind w:left="210" w:leftChars="100"/>
      <w:jc w:val="center"/>
      <w:outlineLvl w:val="2"/>
    </w:pPr>
    <w:rPr>
      <w:rFonts w:ascii="宋体" w:hAnsi="宋体" w:cs="Arial"/>
      <w:b/>
      <w:bCs/>
      <w:sz w:val="30"/>
      <w:szCs w:val="28"/>
    </w:rPr>
  </w:style>
  <w:style w:type="paragraph" w:customStyle="1" w:styleId="124">
    <w:name w:val="_Style 1"/>
    <w:basedOn w:val="1"/>
    <w:autoRedefine/>
    <w:qFormat/>
    <w:uiPriority w:val="0"/>
    <w:pPr>
      <w:ind w:firstLine="420" w:firstLineChars="200"/>
    </w:pPr>
  </w:style>
  <w:style w:type="paragraph" w:customStyle="1" w:styleId="125">
    <w:name w:val="标题 51"/>
    <w:basedOn w:val="1"/>
    <w:autoRedefine/>
    <w:qFormat/>
    <w:uiPriority w:val="1"/>
    <w:pPr>
      <w:autoSpaceDE w:val="0"/>
      <w:autoSpaceDN w:val="0"/>
      <w:ind w:left="980" w:hanging="360"/>
      <w:outlineLvl w:val="5"/>
    </w:pPr>
    <w:rPr>
      <w:rFonts w:ascii="宋体" w:hAnsi="宋体" w:cs="宋体"/>
      <w:b/>
      <w:bCs/>
      <w:szCs w:val="21"/>
      <w:lang w:val="zh-CN" w:bidi="zh-CN"/>
    </w:rPr>
  </w:style>
  <w:style w:type="paragraph" w:customStyle="1" w:styleId="126">
    <w:name w:val="_Style 3"/>
    <w:basedOn w:val="1"/>
    <w:autoRedefine/>
    <w:qFormat/>
    <w:uiPriority w:val="34"/>
    <w:pPr>
      <w:ind w:firstLine="420" w:firstLineChars="200"/>
    </w:pPr>
  </w:style>
  <w:style w:type="paragraph" w:customStyle="1" w:styleId="1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8">
    <w:name w:val="12册标题"/>
    <w:basedOn w:val="1"/>
    <w:next w:val="1"/>
    <w:autoRedefine/>
    <w:qFormat/>
    <w:uiPriority w:val="0"/>
    <w:pPr>
      <w:spacing w:beforeLines="50" w:afterLines="50" w:line="300" w:lineRule="auto"/>
      <w:jc w:val="center"/>
      <w:outlineLvl w:val="0"/>
    </w:pPr>
    <w:rPr>
      <w:rFonts w:ascii="Arial" w:hAnsi="Arial" w:eastAsia="黑体"/>
      <w:sz w:val="44"/>
      <w:szCs w:val="20"/>
    </w:rPr>
  </w:style>
  <w:style w:type="paragraph" w:customStyle="1" w:styleId="129">
    <w:name w:val="xl35"/>
    <w:basedOn w:val="1"/>
    <w:autoRedefine/>
    <w:qFormat/>
    <w:uiPriority w:val="0"/>
    <w:pPr>
      <w:widowControl/>
      <w:pBdr>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30">
    <w:name w:val="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31">
    <w:name w:val="font0"/>
    <w:basedOn w:val="1"/>
    <w:autoRedefine/>
    <w:qFormat/>
    <w:uiPriority w:val="0"/>
    <w:pPr>
      <w:widowControl/>
      <w:spacing w:before="100" w:beforeAutospacing="1" w:afterAutospacing="1"/>
      <w:jc w:val="left"/>
    </w:pPr>
    <w:rPr>
      <w:rFonts w:hint="eastAsia" w:ascii="宋体" w:hAnsi="宋体"/>
      <w:kern w:val="0"/>
      <w:sz w:val="24"/>
      <w:szCs w:val="20"/>
    </w:rPr>
  </w:style>
  <w:style w:type="paragraph" w:customStyle="1" w:styleId="13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33">
    <w:name w:val="Char11"/>
    <w:basedOn w:val="1"/>
    <w:autoRedefine/>
    <w:qFormat/>
    <w:uiPriority w:val="0"/>
    <w:pPr>
      <w:widowControl/>
      <w:spacing w:after="160" w:line="240" w:lineRule="exact"/>
      <w:jc w:val="left"/>
    </w:pPr>
    <w:rPr>
      <w:sz w:val="24"/>
      <w:szCs w:val="24"/>
    </w:rPr>
  </w:style>
  <w:style w:type="paragraph" w:customStyle="1" w:styleId="13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35">
    <w:name w:val="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36">
    <w:name w:val="样式 宋体 小四 行距: 1.5 倍行距"/>
    <w:basedOn w:val="6"/>
    <w:autoRedefine/>
    <w:qFormat/>
    <w:uiPriority w:val="0"/>
    <w:pPr>
      <w:spacing w:after="25" w:line="360" w:lineRule="auto"/>
    </w:pPr>
    <w:rPr>
      <w:rFonts w:ascii="宋体" w:hAnsi="宋体"/>
      <w:b w:val="0"/>
      <w:sz w:val="24"/>
      <w:szCs w:val="20"/>
    </w:rPr>
  </w:style>
  <w:style w:type="paragraph" w:customStyle="1" w:styleId="137">
    <w:name w:val="Char Char2 Char"/>
    <w:basedOn w:val="1"/>
    <w:autoRedefine/>
    <w:qFormat/>
    <w:uiPriority w:val="0"/>
    <w:rPr>
      <w:rFonts w:ascii="宋体" w:hAnsi="宋体"/>
      <w:b/>
      <w:sz w:val="28"/>
      <w:szCs w:val="28"/>
    </w:rPr>
  </w:style>
  <w:style w:type="paragraph" w:customStyle="1" w:styleId="138">
    <w:name w:val="设计方案"/>
    <w:basedOn w:val="1"/>
    <w:autoRedefine/>
    <w:qFormat/>
    <w:uiPriority w:val="0"/>
    <w:pPr>
      <w:widowControl/>
      <w:numPr>
        <w:ilvl w:val="0"/>
        <w:numId w:val="1"/>
      </w:numPr>
      <w:tabs>
        <w:tab w:val="left" w:pos="425"/>
      </w:tabs>
      <w:spacing w:after="160" w:line="240" w:lineRule="exact"/>
      <w:jc w:val="left"/>
    </w:pPr>
    <w:rPr>
      <w:rFonts w:ascii="Verdana" w:hAnsi="Verdana"/>
      <w:kern w:val="0"/>
      <w:szCs w:val="20"/>
      <w:lang w:eastAsia="en-US"/>
    </w:rPr>
  </w:style>
  <w:style w:type="paragraph" w:customStyle="1" w:styleId="139">
    <w:name w:val="列出段落11"/>
    <w:basedOn w:val="1"/>
    <w:autoRedefine/>
    <w:qFormat/>
    <w:uiPriority w:val="0"/>
    <w:pPr>
      <w:ind w:firstLine="200" w:firstLineChars="200"/>
    </w:pPr>
    <w:rPr>
      <w:szCs w:val="21"/>
    </w:rPr>
  </w:style>
  <w:style w:type="paragraph" w:customStyle="1" w:styleId="140">
    <w:name w:val="2册标题2"/>
    <w:basedOn w:val="1"/>
    <w:next w:val="1"/>
    <w:autoRedefine/>
    <w:qFormat/>
    <w:uiPriority w:val="0"/>
    <w:pPr>
      <w:spacing w:beforeLines="50" w:afterLines="50" w:line="300" w:lineRule="auto"/>
      <w:outlineLvl w:val="1"/>
    </w:pPr>
    <w:rPr>
      <w:rFonts w:ascii="Arial" w:hAnsi="Arial" w:eastAsia="黑体"/>
      <w:sz w:val="30"/>
      <w:szCs w:val="30"/>
    </w:rPr>
  </w:style>
  <w:style w:type="paragraph" w:customStyle="1" w:styleId="141">
    <w:name w:val="xl63"/>
    <w:basedOn w:val="1"/>
    <w:autoRedefine/>
    <w:qFormat/>
    <w:uiPriority w:val="0"/>
    <w:pPr>
      <w:widowControl/>
      <w:pBdr>
        <w:bottom w:val="single" w:color="000000" w:sz="4" w:space="0"/>
      </w:pBdr>
      <w:spacing w:before="100" w:beforeAutospacing="1" w:afterAutospacing="1"/>
      <w:jc w:val="center"/>
      <w:textAlignment w:val="center"/>
    </w:pPr>
    <w:rPr>
      <w:rFonts w:ascii="宋体" w:hAnsi="宋体"/>
      <w:kern w:val="0"/>
      <w:sz w:val="28"/>
      <w:szCs w:val="28"/>
    </w:rPr>
  </w:style>
  <w:style w:type="paragraph" w:customStyle="1" w:styleId="142">
    <w:name w:val="p0"/>
    <w:basedOn w:val="1"/>
    <w:autoRedefine/>
    <w:qFormat/>
    <w:uiPriority w:val="0"/>
    <w:pPr>
      <w:widowControl/>
    </w:pPr>
    <w:rPr>
      <w:rFonts w:ascii="Times New Roman" w:hAnsi="Times New Roman" w:cs="Times New Roman"/>
      <w:kern w:val="0"/>
      <w:szCs w:val="21"/>
    </w:rPr>
  </w:style>
  <w:style w:type="paragraph" w:customStyle="1" w:styleId="143">
    <w:name w:val="font5"/>
    <w:basedOn w:val="1"/>
    <w:autoRedefine/>
    <w:qFormat/>
    <w:uiPriority w:val="0"/>
    <w:pPr>
      <w:widowControl/>
      <w:spacing w:before="100" w:beforeAutospacing="1" w:afterAutospacing="1"/>
      <w:jc w:val="left"/>
    </w:pPr>
    <w:rPr>
      <w:rFonts w:hint="eastAsia" w:ascii="宋体" w:hAnsi="宋体"/>
      <w:kern w:val="0"/>
      <w:sz w:val="24"/>
      <w:szCs w:val="20"/>
    </w:rPr>
  </w:style>
  <w:style w:type="paragraph" w:customStyle="1" w:styleId="144">
    <w:name w:val="xl34"/>
    <w:basedOn w:val="1"/>
    <w:autoRedefine/>
    <w:qFormat/>
    <w:uiPriority w:val="0"/>
    <w:pPr>
      <w:widowControl/>
      <w:pBdr>
        <w:top w:val="single" w:color="auto" w:sz="4" w:space="0"/>
        <w:left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45">
    <w:name w:val="font7"/>
    <w:basedOn w:val="1"/>
    <w:autoRedefine/>
    <w:qFormat/>
    <w:uiPriority w:val="0"/>
    <w:pPr>
      <w:widowControl/>
      <w:spacing w:before="100" w:beforeAutospacing="1" w:afterAutospacing="1"/>
      <w:jc w:val="left"/>
    </w:pPr>
    <w:rPr>
      <w:kern w:val="0"/>
      <w:sz w:val="24"/>
      <w:szCs w:val="20"/>
    </w:rPr>
  </w:style>
  <w:style w:type="paragraph" w:customStyle="1" w:styleId="146">
    <w:name w:val="font6"/>
    <w:basedOn w:val="1"/>
    <w:autoRedefine/>
    <w:qFormat/>
    <w:uiPriority w:val="0"/>
    <w:pPr>
      <w:widowControl/>
      <w:spacing w:before="100" w:beforeAutospacing="1" w:afterAutospacing="1"/>
      <w:jc w:val="left"/>
    </w:pPr>
    <w:rPr>
      <w:rFonts w:hint="eastAsia" w:ascii="宋体" w:hAnsi="宋体"/>
      <w:kern w:val="0"/>
      <w:sz w:val="18"/>
      <w:szCs w:val="20"/>
    </w:rPr>
  </w:style>
  <w:style w:type="paragraph" w:customStyle="1" w:styleId="147">
    <w:name w:val="题注4"/>
    <w:basedOn w:val="1"/>
    <w:next w:val="14"/>
    <w:autoRedefine/>
    <w:qFormat/>
    <w:uiPriority w:val="0"/>
    <w:pPr>
      <w:jc w:val="center"/>
    </w:pPr>
    <w:rPr>
      <w:rFonts w:ascii="宋体" w:hAnsi="宋体"/>
      <w:sz w:val="24"/>
      <w:szCs w:val="20"/>
    </w:rPr>
  </w:style>
  <w:style w:type="paragraph" w:customStyle="1" w:styleId="148">
    <w:name w:val="样式 标题 2 + 宋体 五号 非加粗 黑色"/>
    <w:basedOn w:val="4"/>
    <w:autoRedefine/>
    <w:qFormat/>
    <w:uiPriority w:val="0"/>
    <w:pPr>
      <w:numPr>
        <w:ilvl w:val="1"/>
        <w:numId w:val="2"/>
      </w:numPr>
      <w:tabs>
        <w:tab w:val="left" w:pos="840"/>
      </w:tabs>
      <w:adjustRightInd w:val="0"/>
      <w:spacing w:line="416" w:lineRule="atLeast"/>
      <w:jc w:val="left"/>
      <w:textAlignment w:val="baseline"/>
    </w:pPr>
    <w:rPr>
      <w:rFonts w:ascii="宋体" w:hAnsi="宋体" w:eastAsia="宋体"/>
      <w:b w:val="0"/>
      <w:bCs w:val="0"/>
      <w:color w:val="000000"/>
      <w:sz w:val="21"/>
      <w:szCs w:val="20"/>
    </w:rPr>
  </w:style>
  <w:style w:type="paragraph" w:customStyle="1" w:styleId="149">
    <w:name w:val="TOC Heading"/>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0">
    <w:name w:val="Char Char Char Char Char Char Char Char Char 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51">
    <w:name w:val="1册标题3"/>
    <w:basedOn w:val="1"/>
    <w:next w:val="1"/>
    <w:autoRedefine/>
    <w:qFormat/>
    <w:uiPriority w:val="0"/>
    <w:pPr>
      <w:keepNext/>
      <w:keepLines/>
      <w:adjustRightInd w:val="0"/>
      <w:spacing w:beforeLines="50" w:afterLines="50" w:line="300" w:lineRule="auto"/>
      <w:textAlignment w:val="baseline"/>
      <w:outlineLvl w:val="2"/>
    </w:pPr>
    <w:rPr>
      <w:rFonts w:ascii="Arial" w:hAnsi="Arial" w:eastAsia="黑体"/>
      <w:kern w:val="0"/>
      <w:sz w:val="30"/>
      <w:szCs w:val="20"/>
    </w:rPr>
  </w:style>
  <w:style w:type="paragraph" w:customStyle="1" w:styleId="152">
    <w:name w:val="样式 标题 3h3H3sect1.2.3 + 五号 段前: 6 磅 段后: 6 磅 行距: 单倍行距"/>
    <w:basedOn w:val="5"/>
    <w:autoRedefine/>
    <w:qFormat/>
    <w:uiPriority w:val="0"/>
    <w:pPr>
      <w:numPr>
        <w:ilvl w:val="2"/>
        <w:numId w:val="2"/>
      </w:numPr>
      <w:tabs>
        <w:tab w:val="left" w:pos="1260"/>
      </w:tabs>
      <w:adjustRightInd w:val="0"/>
      <w:spacing w:before="120" w:after="120" w:line="240" w:lineRule="auto"/>
      <w:jc w:val="left"/>
      <w:textAlignment w:val="baseline"/>
    </w:pPr>
    <w:rPr>
      <w:bCs w:val="0"/>
      <w:kern w:val="0"/>
      <w:sz w:val="21"/>
      <w:szCs w:val="20"/>
    </w:rPr>
  </w:style>
  <w:style w:type="paragraph" w:customStyle="1" w:styleId="15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5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55">
    <w:name w:val="图"/>
    <w:basedOn w:val="1"/>
    <w:autoRedefine/>
    <w:qFormat/>
    <w:uiPriority w:val="0"/>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156">
    <w:name w:val="Char Char Char Char Char Char Char"/>
    <w:basedOn w:val="1"/>
    <w:autoRedefine/>
    <w:qFormat/>
    <w:uiPriority w:val="0"/>
    <w:rPr>
      <w:rFonts w:ascii="Tahoma" w:hAnsi="Tahoma" w:cs="Tahoma"/>
      <w:sz w:val="30"/>
      <w:szCs w:val="30"/>
    </w:rPr>
  </w:style>
  <w:style w:type="paragraph" w:customStyle="1" w:styleId="157">
    <w:name w:val="xl22"/>
    <w:basedOn w:val="1"/>
    <w:autoRedefine/>
    <w:qFormat/>
    <w:uiPriority w:val="0"/>
    <w:pPr>
      <w:widowControl/>
      <w:pBdr>
        <w:bottom w:val="single" w:color="auto" w:sz="4" w:space="0"/>
      </w:pBdr>
      <w:spacing w:before="100" w:beforeAutospacing="1" w:afterAutospacing="1"/>
      <w:jc w:val="left"/>
    </w:pPr>
    <w:rPr>
      <w:rFonts w:ascii="宋体" w:hAnsi="宋体"/>
      <w:kern w:val="0"/>
      <w:sz w:val="24"/>
      <w:szCs w:val="20"/>
    </w:rPr>
  </w:style>
  <w:style w:type="paragraph" w:customStyle="1" w:styleId="158">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基准标题"/>
    <w:basedOn w:val="2"/>
    <w:next w:val="2"/>
    <w:autoRedefine/>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6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1">
    <w:name w:val="head"/>
    <w:basedOn w:val="1"/>
    <w:autoRedefine/>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62">
    <w:name w:val="默认段落字体 Para Char Char Char Char"/>
    <w:basedOn w:val="1"/>
    <w:autoRedefine/>
    <w:qFormat/>
    <w:uiPriority w:val="0"/>
    <w:rPr>
      <w:szCs w:val="24"/>
    </w:rPr>
  </w:style>
  <w:style w:type="paragraph" w:customStyle="1" w:styleId="163">
    <w:name w:val="列表段落1"/>
    <w:basedOn w:val="1"/>
    <w:autoRedefine/>
    <w:qFormat/>
    <w:uiPriority w:val="34"/>
    <w:pPr>
      <w:ind w:firstLine="420" w:firstLineChars="200"/>
    </w:pPr>
  </w:style>
  <w:style w:type="paragraph" w:customStyle="1" w:styleId="164">
    <w:name w:val="Table Paragraph"/>
    <w:basedOn w:val="1"/>
    <w:autoRedefine/>
    <w:qFormat/>
    <w:uiPriority w:val="1"/>
    <w:pPr>
      <w:autoSpaceDE w:val="0"/>
      <w:autoSpaceDN w:val="0"/>
    </w:pPr>
    <w:rPr>
      <w:rFonts w:ascii="宋体" w:hAnsi="宋体" w:cs="宋体"/>
      <w:szCs w:val="24"/>
      <w:lang w:val="zh-CN" w:bidi="zh-CN"/>
    </w:rPr>
  </w:style>
  <w:style w:type="paragraph" w:customStyle="1" w:styleId="165">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166">
    <w:name w:val="xl33"/>
    <w:basedOn w:val="1"/>
    <w:autoRedefine/>
    <w:qFormat/>
    <w:uiPriority w:val="0"/>
    <w:pPr>
      <w:widowControl/>
      <w:spacing w:before="100" w:beforeAutospacing="1" w:afterAutospacing="1"/>
      <w:jc w:val="center"/>
    </w:pPr>
    <w:rPr>
      <w:rFonts w:hint="eastAsia" w:ascii="黑体" w:hAnsi="宋体" w:eastAsia="黑体"/>
      <w:b/>
      <w:kern w:val="0"/>
      <w:sz w:val="50"/>
      <w:szCs w:val="20"/>
      <w:u w:val="single"/>
    </w:rPr>
  </w:style>
  <w:style w:type="paragraph" w:customStyle="1" w:styleId="167">
    <w:name w:val="首行缩进"/>
    <w:basedOn w:val="1"/>
    <w:autoRedefine/>
    <w:qFormat/>
    <w:uiPriority w:val="0"/>
    <w:pPr>
      <w:ind w:firstLine="480" w:firstLineChars="200"/>
    </w:pPr>
    <w:rPr>
      <w:szCs w:val="24"/>
      <w:lang w:val="zh-CN"/>
    </w:rPr>
  </w:style>
  <w:style w:type="paragraph" w:customStyle="1" w:styleId="168">
    <w:name w:val="Char1 Char Char Char"/>
    <w:basedOn w:val="1"/>
    <w:autoRedefine/>
    <w:qFormat/>
    <w:uiPriority w:val="0"/>
    <w:rPr>
      <w:szCs w:val="20"/>
    </w:rPr>
  </w:style>
  <w:style w:type="paragraph" w:customStyle="1" w:styleId="16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2"/>
      <w:szCs w:val="20"/>
    </w:rPr>
  </w:style>
  <w:style w:type="paragraph" w:customStyle="1" w:styleId="17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71">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72">
    <w:name w:val="font8"/>
    <w:basedOn w:val="1"/>
    <w:autoRedefine/>
    <w:qFormat/>
    <w:uiPriority w:val="0"/>
    <w:pPr>
      <w:widowControl/>
      <w:spacing w:before="100" w:beforeAutospacing="1" w:afterAutospacing="1"/>
      <w:jc w:val="left"/>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深圳大学城图书馆竞价文件20231121（阙）.dotx</Template>
  <Company>Sky123.Org</Company>
  <Pages>14</Pages>
  <Words>7753</Words>
  <Characters>7992</Characters>
  <Lines>98</Lines>
  <Paragraphs>27</Paragraphs>
  <TotalTime>24</TotalTime>
  <ScaleCrop>false</ScaleCrop>
  <LinksUpToDate>false</LinksUpToDate>
  <CharactersWithSpaces>8373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2024-07-14T05:42:00Z</dcterms:created>
  <dc:creator>QUE</dc:creator>
  <cp:lastModifiedBy>彭尉桓</cp:lastModifiedBy>
  <cp:lastPrinted>2018-10-16T04:01:00Z</cp:lastPrinted>
  <dcterms:modified xsi:type="dcterms:W3CDTF">2024-09-24T03:59:07Z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