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hint="eastAsia" w:ascii="宋体" w:hAnsi="宋体" w:eastAsia="宋体" w:cs="宋体"/>
          <w:szCs w:val="21"/>
          <w:lang w:val="en-US" w:eastAsia="zh-CN"/>
        </w:rPr>
      </w:pPr>
      <w:bookmarkStart w:id="0" w:name="_Toc421266940"/>
      <w:r>
        <w:rPr>
          <w:rFonts w:hint="eastAsia" w:ascii="宋体" w:hAnsi="宋体" w:eastAsia="宋体" w:cs="宋体"/>
          <w:szCs w:val="21"/>
          <w:lang w:val="en-US" w:eastAsia="zh-CN"/>
        </w:rPr>
        <w:t>图书馆二、三楼局部空间改造工程项目管理及监理服务</w:t>
      </w:r>
    </w:p>
    <w:p>
      <w:pPr>
        <w:pStyle w:val="18"/>
        <w:rPr>
          <w:rFonts w:hint="eastAsia"/>
        </w:rPr>
      </w:pPr>
      <w:r>
        <w:rPr>
          <w:rFonts w:hint="eastAsia"/>
        </w:rPr>
        <w:t>项目申报书</w:t>
      </w:r>
      <w:bookmarkEnd w:id="0"/>
    </w:p>
    <w:tbl>
      <w:tblPr>
        <w:tblStyle w:val="2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576"/>
        <w:gridCol w:w="3247"/>
        <w:gridCol w:w="1580"/>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gridSpan w:val="2"/>
            <w:noWrap w:val="0"/>
            <w:vAlign w:val="top"/>
          </w:tcPr>
          <w:p>
            <w:pPr>
              <w:rPr>
                <w:rFonts w:hint="eastAsia"/>
              </w:rPr>
            </w:pPr>
            <w:r>
              <w:rPr>
                <w:rFonts w:hint="eastAsia"/>
              </w:rPr>
              <w:t>项目名称</w:t>
            </w:r>
          </w:p>
        </w:tc>
        <w:tc>
          <w:tcPr>
            <w:tcW w:w="3247" w:type="dxa"/>
            <w:noWrap w:val="0"/>
            <w:vAlign w:val="top"/>
          </w:tcPr>
          <w:p>
            <w:pPr>
              <w:rPr>
                <w:rFonts w:hint="eastAsia"/>
              </w:rPr>
            </w:pPr>
            <w:r>
              <w:rPr>
                <w:rFonts w:hint="eastAsia" w:ascii="宋体" w:hAnsi="宋体" w:eastAsia="宋体" w:cs="宋体"/>
                <w:szCs w:val="21"/>
                <w:lang w:val="en-US" w:eastAsia="zh-CN"/>
              </w:rPr>
              <w:t>图书馆二、三楼局部空间改造工程项目管理及监理服务</w:t>
            </w:r>
          </w:p>
        </w:tc>
        <w:tc>
          <w:tcPr>
            <w:tcW w:w="1580" w:type="dxa"/>
            <w:noWrap w:val="0"/>
            <w:vAlign w:val="top"/>
          </w:tcPr>
          <w:p>
            <w:pPr>
              <w:rPr>
                <w:rFonts w:hint="eastAsia"/>
              </w:rPr>
            </w:pPr>
            <w:r>
              <w:t>采购类型</w:t>
            </w:r>
          </w:p>
        </w:tc>
        <w:tc>
          <w:tcPr>
            <w:tcW w:w="2862" w:type="dxa"/>
            <w:noWrap w:val="0"/>
            <w:vAlign w:val="top"/>
          </w:tcPr>
          <w:p>
            <w:pPr>
              <w:rPr>
                <w:rFonts w:hint="eastAsia"/>
              </w:rPr>
            </w:pPr>
            <w:r>
              <w:rPr>
                <w:rFonts w:hint="eastAsia"/>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gridSpan w:val="2"/>
            <w:noWrap w:val="0"/>
            <w:vAlign w:val="top"/>
          </w:tcPr>
          <w:p>
            <w:pPr>
              <w:rPr>
                <w:rFonts w:hint="eastAsia"/>
              </w:rPr>
            </w:pPr>
            <w:r>
              <w:rPr>
                <w:rFonts w:hint="eastAsia"/>
              </w:rPr>
              <w:t>采购人名称</w:t>
            </w:r>
          </w:p>
        </w:tc>
        <w:tc>
          <w:tcPr>
            <w:tcW w:w="3247" w:type="dxa"/>
            <w:noWrap w:val="0"/>
            <w:vAlign w:val="top"/>
          </w:tcPr>
          <w:p>
            <w:pPr>
              <w:rPr>
                <w:rFonts w:hint="default" w:eastAsia="宋体"/>
                <w:lang w:val="en-US" w:eastAsia="zh-CN"/>
              </w:rPr>
            </w:pPr>
            <w:r>
              <w:rPr>
                <w:rFonts w:hint="eastAsia"/>
              </w:rPr>
              <w:t>深圳</w:t>
            </w:r>
            <w:r>
              <w:rPr>
                <w:rFonts w:hint="eastAsia"/>
                <w:lang w:val="en-US" w:eastAsia="zh-CN"/>
              </w:rPr>
              <w:t>大学城图书馆</w:t>
            </w:r>
          </w:p>
        </w:tc>
        <w:tc>
          <w:tcPr>
            <w:tcW w:w="1580" w:type="dxa"/>
            <w:noWrap w:val="0"/>
            <w:vAlign w:val="top"/>
          </w:tcPr>
          <w:p>
            <w:pPr>
              <w:rPr>
                <w:rFonts w:hint="eastAsia"/>
              </w:rPr>
            </w:pPr>
            <w:r>
              <w:t>采购方式</w:t>
            </w:r>
          </w:p>
        </w:tc>
        <w:tc>
          <w:tcPr>
            <w:tcW w:w="2862" w:type="dxa"/>
            <w:noWrap w:val="0"/>
            <w:vAlign w:val="top"/>
          </w:tcPr>
          <w:p>
            <w:pPr>
              <w:rPr>
                <w:rFonts w:hint="eastAsia"/>
              </w:rPr>
            </w:pPr>
            <w:r>
              <w:rPr>
                <w:rFonts w:hint="eastAsia" w:hAnsi="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gridSpan w:val="2"/>
            <w:noWrap w:val="0"/>
            <w:vAlign w:val="top"/>
          </w:tcPr>
          <w:p>
            <w:pPr>
              <w:rPr>
                <w:rFonts w:hint="eastAsia"/>
              </w:rPr>
            </w:pPr>
            <w:r>
              <w:rPr>
                <w:rFonts w:hint="eastAsia"/>
              </w:rPr>
              <w:t>财政预算限额（元）</w:t>
            </w:r>
          </w:p>
        </w:tc>
        <w:tc>
          <w:tcPr>
            <w:tcW w:w="3247" w:type="dxa"/>
            <w:noWrap w:val="0"/>
            <w:vAlign w:val="top"/>
          </w:tcPr>
          <w:p>
            <w:r>
              <w:rPr>
                <w:rFonts w:hint="eastAsia"/>
                <w:lang w:val="en-US" w:eastAsia="zh-CN"/>
              </w:rPr>
              <w:t>300</w:t>
            </w:r>
            <w:r>
              <w:t>00</w:t>
            </w:r>
            <w:r>
              <w:rPr>
                <w:rFonts w:hint="eastAsia"/>
              </w:rPr>
              <w:t>.00</w:t>
            </w:r>
            <w:bookmarkStart w:id="77" w:name="_GoBack"/>
            <w:bookmarkEnd w:id="77"/>
          </w:p>
        </w:tc>
        <w:tc>
          <w:tcPr>
            <w:tcW w:w="1580" w:type="dxa"/>
            <w:noWrap w:val="0"/>
            <w:vAlign w:val="top"/>
          </w:tcPr>
          <w:p>
            <w:pPr>
              <w:rPr>
                <w:rFonts w:hint="eastAsia"/>
              </w:rPr>
            </w:pPr>
          </w:p>
        </w:tc>
        <w:tc>
          <w:tcPr>
            <w:tcW w:w="2862" w:type="dxa"/>
            <w:noWrap w:val="0"/>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09" w:type="dxa"/>
            <w:gridSpan w:val="2"/>
            <w:noWrap w:val="0"/>
            <w:vAlign w:val="top"/>
          </w:tcPr>
          <w:p>
            <w:pPr>
              <w:rPr>
                <w:rFonts w:hint="eastAsia"/>
              </w:rPr>
            </w:pPr>
            <w:r>
              <w:rPr>
                <w:rFonts w:hint="eastAsia"/>
              </w:rPr>
              <w:t>项目背景</w:t>
            </w:r>
          </w:p>
        </w:tc>
        <w:tc>
          <w:tcPr>
            <w:tcW w:w="7689" w:type="dxa"/>
            <w:gridSpan w:val="3"/>
            <w:noWrap w:val="0"/>
            <w:vAlign w:val="top"/>
          </w:tcPr>
          <w:p>
            <w:pPr>
              <w:ind w:firstLine="420" w:firstLineChars="200"/>
              <w:rPr>
                <w:rFonts w:hint="eastAsia"/>
              </w:rPr>
            </w:pPr>
            <w:r>
              <w:rPr>
                <w:rFonts w:hint="eastAsia" w:ascii="宋体" w:hAnsi="宋体"/>
              </w:rPr>
              <w:t>本项目</w:t>
            </w:r>
            <w:r>
              <w:rPr>
                <w:rFonts w:hint="eastAsia" w:ascii="宋体" w:hAnsi="宋体"/>
                <w:lang w:val="en-US" w:eastAsia="zh-CN"/>
              </w:rPr>
              <w:t>内容</w:t>
            </w:r>
            <w:r>
              <w:rPr>
                <w:rFonts w:hint="eastAsia" w:ascii="宋体" w:hAnsi="宋体"/>
              </w:rPr>
              <w:t>包括但不限于</w:t>
            </w:r>
            <w:r>
              <w:rPr>
                <w:rFonts w:hint="eastAsia" w:ascii="宋体" w:hAnsi="宋体" w:eastAsia="宋体" w:cs="宋体"/>
                <w:szCs w:val="21"/>
                <w:lang w:eastAsia="zh-CN"/>
              </w:rPr>
              <w:t>图书馆二楼空间改造工程项目</w:t>
            </w:r>
            <w:r>
              <w:rPr>
                <w:rFonts w:hint="eastAsia" w:ascii="宋体" w:hAnsi="宋体"/>
              </w:rPr>
              <w:t>工程施工监理等项目全生命周期的咨询管理服务，以及质量、进度、安全、信息等管理与协调等工作。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noWrap w:val="0"/>
            <w:vAlign w:val="center"/>
          </w:tcPr>
          <w:p>
            <w:pPr>
              <w:jc w:val="center"/>
              <w:rPr>
                <w:rFonts w:hint="eastAsia"/>
              </w:rPr>
            </w:pPr>
            <w:r>
              <w:rPr>
                <w:rFonts w:hint="eastAsia" w:ascii="宋体" w:hAnsi="宋体" w:cs="宋体"/>
                <w:kern w:val="0"/>
                <w:szCs w:val="21"/>
              </w:rPr>
              <w:t>投标人资质要求</w:t>
            </w:r>
          </w:p>
        </w:tc>
        <w:tc>
          <w:tcPr>
            <w:tcW w:w="9265" w:type="dxa"/>
            <w:gridSpan w:val="4"/>
            <w:noWrap w:val="0"/>
            <w:vAlign w:val="top"/>
          </w:tcPr>
          <w:p>
            <w:pPr>
              <w:rPr>
                <w:rFonts w:hint="eastAsia" w:ascii="宋体" w:hAnsi="宋体" w:cs="宋体"/>
                <w:b/>
                <w:color w:val="FF0000"/>
                <w:kern w:val="0"/>
                <w:szCs w:val="21"/>
              </w:rPr>
            </w:pPr>
            <w:r>
              <w:rPr>
                <w:rFonts w:hint="eastAsia" w:ascii="宋体" w:hAnsi="宋体" w:cs="宋体"/>
                <w:b/>
                <w:color w:val="FF0000"/>
                <w:kern w:val="0"/>
                <w:szCs w:val="21"/>
              </w:rPr>
              <w:t>注意：提供明确、具体的资格要求（设置的投标人资格要求必须提交有法律法规依据，且不具备倾向性）</w:t>
            </w:r>
          </w:p>
          <w:p>
            <w:pPr>
              <w:numPr>
                <w:ilvl w:val="0"/>
                <w:numId w:val="3"/>
              </w:numPr>
              <w:spacing w:line="460" w:lineRule="exact"/>
              <w:ind w:firstLine="420" w:firstLineChars="200"/>
              <w:rPr>
                <w:rFonts w:hint="eastAsia" w:ascii="宋体" w:hAnsi="宋体"/>
                <w:szCs w:val="21"/>
              </w:rPr>
            </w:pPr>
            <w:r>
              <w:rPr>
                <w:rFonts w:hint="eastAsia" w:ascii="宋体" w:hAnsi="宋体"/>
                <w:szCs w:val="21"/>
              </w:rPr>
              <w:t>投标人应同时具备以下资质条件：（</w:t>
            </w:r>
            <w:r>
              <w:rPr>
                <w:rFonts w:hint="eastAsia" w:ascii="宋体" w:hAnsi="宋体"/>
                <w:szCs w:val="21"/>
                <w:lang w:val="en-US" w:eastAsia="zh-CN"/>
              </w:rPr>
              <w:t>1</w:t>
            </w:r>
            <w:r>
              <w:rPr>
                <w:rFonts w:hint="eastAsia" w:ascii="宋体" w:hAnsi="宋体"/>
                <w:szCs w:val="21"/>
              </w:rPr>
              <w:t>）</w:t>
            </w:r>
            <w:r>
              <w:rPr>
                <w:rFonts w:ascii="宋体" w:hAnsi="宋体"/>
                <w:bCs/>
                <w:snapToGrid w:val="0"/>
                <w:szCs w:val="21"/>
              </w:rPr>
              <w:t>具有房屋建筑工程监理乙级或以上资质</w:t>
            </w:r>
            <w:r>
              <w:rPr>
                <w:rFonts w:hint="eastAsia" w:ascii="宋体" w:hAnsi="宋体"/>
                <w:szCs w:val="21"/>
              </w:rPr>
              <w:t xml:space="preserve"> </w:t>
            </w:r>
            <w:r>
              <w:rPr>
                <w:rFonts w:hint="eastAsia" w:ascii="宋体" w:hAnsi="宋体" w:cs="宋体"/>
                <w:kern w:val="0"/>
                <w:szCs w:val="21"/>
              </w:rPr>
              <w:t>；</w:t>
            </w:r>
            <w:r>
              <w:rPr>
                <w:rFonts w:hint="eastAsia" w:ascii="宋体" w:hAnsi="宋体"/>
                <w:szCs w:val="21"/>
              </w:rPr>
              <w:t>（</w:t>
            </w:r>
            <w:r>
              <w:rPr>
                <w:rFonts w:hint="eastAsia" w:ascii="宋体" w:hAnsi="宋体"/>
                <w:szCs w:val="21"/>
                <w:lang w:val="en-US" w:eastAsia="zh-CN"/>
              </w:rPr>
              <w:t>2</w:t>
            </w:r>
            <w:r>
              <w:rPr>
                <w:rFonts w:hint="eastAsia" w:ascii="宋体" w:hAnsi="宋体"/>
                <w:szCs w:val="21"/>
              </w:rPr>
              <w:t>）工程咨询单位应当通过全国投资项目在线审批监管平台备案，备案的工程咨询专业包含建筑工程，须截图证明。</w:t>
            </w:r>
          </w:p>
          <w:p>
            <w:pPr>
              <w:numPr>
                <w:ilvl w:val="0"/>
                <w:numId w:val="3"/>
              </w:numPr>
              <w:spacing w:line="460" w:lineRule="exact"/>
              <w:ind w:firstLine="420" w:firstLineChars="200"/>
              <w:rPr>
                <w:rFonts w:ascii="宋体" w:hAnsi="宋体"/>
                <w:szCs w:val="21"/>
              </w:rPr>
            </w:pPr>
            <w:r>
              <w:rPr>
                <w:rFonts w:hint="eastAsia" w:ascii="宋体" w:hAnsi="宋体"/>
                <w:szCs w:val="21"/>
              </w:rPr>
              <w:t>本</w:t>
            </w:r>
            <w:r>
              <w:rPr>
                <w:rFonts w:hint="eastAsia" w:ascii="宋体" w:hAnsi="宋体"/>
                <w:szCs w:val="21"/>
                <w:lang w:val="en-US" w:eastAsia="zh-CN"/>
              </w:rPr>
              <w:t>项目不</w:t>
            </w:r>
            <w:r>
              <w:rPr>
                <w:rFonts w:hint="eastAsia" w:ascii="宋体" w:hAnsi="宋体"/>
                <w:szCs w:val="21"/>
              </w:rPr>
              <w:t>接受联合体投标。</w:t>
            </w:r>
          </w:p>
          <w:p>
            <w:pPr>
              <w:spacing w:line="460" w:lineRule="exact"/>
              <w:rPr>
                <w:rFonts w:hint="eastAsia" w:ascii="宋体" w:hAnsi="宋体" w:cs="宋体"/>
                <w:b/>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货物清单</w:t>
            </w:r>
          </w:p>
        </w:tc>
        <w:tc>
          <w:tcPr>
            <w:tcW w:w="9265" w:type="dxa"/>
            <w:gridSpan w:val="4"/>
            <w:noWrap w:val="0"/>
            <w:vAlign w:val="top"/>
          </w:tcPr>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550"/>
              <w:gridCol w:w="1732"/>
              <w:gridCol w:w="834"/>
              <w:gridCol w:w="1117"/>
              <w:gridCol w:w="1143"/>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noWrap w:val="0"/>
                  <w:vAlign w:val="top"/>
                </w:tcPr>
                <w:p>
                  <w:pPr>
                    <w:jc w:val="center"/>
                    <w:rPr>
                      <w:rFonts w:hint="eastAsia"/>
                      <w:bCs/>
                      <w:szCs w:val="21"/>
                    </w:rPr>
                  </w:pPr>
                  <w:r>
                    <w:rPr>
                      <w:rFonts w:hint="eastAsia"/>
                      <w:bCs/>
                      <w:szCs w:val="21"/>
                    </w:rPr>
                    <w:t>序号</w:t>
                  </w:r>
                </w:p>
              </w:tc>
              <w:tc>
                <w:tcPr>
                  <w:tcW w:w="1550" w:type="dxa"/>
                  <w:noWrap w:val="0"/>
                  <w:vAlign w:val="top"/>
                </w:tcPr>
                <w:p>
                  <w:pPr>
                    <w:jc w:val="center"/>
                    <w:rPr>
                      <w:rFonts w:hint="eastAsia"/>
                      <w:bCs/>
                      <w:szCs w:val="21"/>
                    </w:rPr>
                  </w:pPr>
                  <w:r>
                    <w:rPr>
                      <w:rFonts w:hint="eastAsia"/>
                      <w:bCs/>
                      <w:szCs w:val="21"/>
                    </w:rPr>
                    <w:t>采购计划编号</w:t>
                  </w:r>
                </w:p>
              </w:tc>
              <w:tc>
                <w:tcPr>
                  <w:tcW w:w="1732" w:type="dxa"/>
                  <w:noWrap w:val="0"/>
                  <w:vAlign w:val="top"/>
                </w:tcPr>
                <w:p>
                  <w:pPr>
                    <w:jc w:val="center"/>
                    <w:rPr>
                      <w:rFonts w:hint="eastAsia"/>
                      <w:bCs/>
                      <w:szCs w:val="21"/>
                    </w:rPr>
                  </w:pPr>
                  <w:r>
                    <w:rPr>
                      <w:rFonts w:hint="eastAsia"/>
                      <w:bCs/>
                      <w:szCs w:val="21"/>
                    </w:rPr>
                    <w:t>需求内容</w:t>
                  </w:r>
                </w:p>
              </w:tc>
              <w:tc>
                <w:tcPr>
                  <w:tcW w:w="834" w:type="dxa"/>
                  <w:noWrap w:val="0"/>
                  <w:vAlign w:val="top"/>
                </w:tcPr>
                <w:p>
                  <w:pPr>
                    <w:jc w:val="center"/>
                    <w:rPr>
                      <w:rFonts w:hint="eastAsia"/>
                      <w:bCs/>
                      <w:szCs w:val="21"/>
                    </w:rPr>
                  </w:pPr>
                  <w:r>
                    <w:rPr>
                      <w:rFonts w:hint="eastAsia"/>
                      <w:bCs/>
                      <w:szCs w:val="21"/>
                    </w:rPr>
                    <w:t>数量</w:t>
                  </w:r>
                </w:p>
              </w:tc>
              <w:tc>
                <w:tcPr>
                  <w:tcW w:w="1117" w:type="dxa"/>
                  <w:noWrap w:val="0"/>
                  <w:vAlign w:val="top"/>
                </w:tcPr>
                <w:p>
                  <w:pPr>
                    <w:jc w:val="center"/>
                    <w:rPr>
                      <w:rFonts w:hint="eastAsia"/>
                      <w:bCs/>
                      <w:szCs w:val="21"/>
                    </w:rPr>
                  </w:pPr>
                  <w:r>
                    <w:rPr>
                      <w:rFonts w:hint="eastAsia"/>
                      <w:bCs/>
                      <w:szCs w:val="21"/>
                    </w:rPr>
                    <w:t>单位</w:t>
                  </w:r>
                </w:p>
              </w:tc>
              <w:tc>
                <w:tcPr>
                  <w:tcW w:w="1143" w:type="dxa"/>
                  <w:noWrap w:val="0"/>
                  <w:vAlign w:val="top"/>
                </w:tcPr>
                <w:p>
                  <w:pPr>
                    <w:jc w:val="center"/>
                    <w:rPr>
                      <w:rFonts w:hint="eastAsia"/>
                      <w:bCs/>
                      <w:szCs w:val="21"/>
                    </w:rPr>
                  </w:pPr>
                  <w:r>
                    <w:rPr>
                      <w:rFonts w:hint="eastAsia"/>
                      <w:bCs/>
                      <w:szCs w:val="21"/>
                    </w:rPr>
                    <w:t>备注</w:t>
                  </w:r>
                </w:p>
              </w:tc>
              <w:tc>
                <w:tcPr>
                  <w:tcW w:w="1117" w:type="dxa"/>
                  <w:noWrap w:val="0"/>
                  <w:vAlign w:val="top"/>
                </w:tcPr>
                <w:p>
                  <w:pPr>
                    <w:jc w:val="center"/>
                    <w:rPr>
                      <w:rFonts w:hint="eastAsia"/>
                      <w:bCs/>
                      <w:szCs w:val="21"/>
                    </w:rPr>
                  </w:pPr>
                  <w:r>
                    <w:rPr>
                      <w:rFonts w:hint="eastAsia"/>
                      <w:bCs/>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1" w:type="dxa"/>
                  <w:noWrap w:val="0"/>
                  <w:vAlign w:val="top"/>
                </w:tcPr>
                <w:p>
                  <w:pPr>
                    <w:jc w:val="center"/>
                    <w:rPr>
                      <w:rFonts w:hint="eastAsia"/>
                      <w:bCs/>
                      <w:szCs w:val="21"/>
                    </w:rPr>
                  </w:pPr>
                  <w:r>
                    <w:rPr>
                      <w:rFonts w:hint="eastAsia"/>
                      <w:bCs/>
                      <w:szCs w:val="21"/>
                    </w:rPr>
                    <w:t>1</w:t>
                  </w:r>
                </w:p>
              </w:tc>
              <w:tc>
                <w:tcPr>
                  <w:tcW w:w="1550" w:type="dxa"/>
                  <w:noWrap w:val="0"/>
                  <w:vAlign w:val="top"/>
                </w:tcPr>
                <w:p>
                  <w:pPr>
                    <w:jc w:val="center"/>
                    <w:rPr>
                      <w:rFonts w:hint="eastAsia"/>
                      <w:bCs/>
                      <w:szCs w:val="21"/>
                    </w:rPr>
                  </w:pPr>
                </w:p>
              </w:tc>
              <w:tc>
                <w:tcPr>
                  <w:tcW w:w="1732" w:type="dxa"/>
                  <w:noWrap w:val="0"/>
                  <w:vAlign w:val="top"/>
                </w:tcPr>
                <w:p>
                  <w:pPr>
                    <w:jc w:val="center"/>
                    <w:rPr>
                      <w:rFonts w:hint="eastAsia"/>
                      <w:bCs/>
                      <w:szCs w:val="21"/>
                    </w:rPr>
                  </w:pPr>
                  <w:r>
                    <w:rPr>
                      <w:rFonts w:hint="eastAsia" w:ascii="宋体" w:hAnsi="宋体" w:eastAsia="宋体" w:cs="宋体"/>
                      <w:szCs w:val="21"/>
                      <w:lang w:val="en-US" w:eastAsia="zh-CN"/>
                    </w:rPr>
                    <w:t>工程项目管理及监理服务</w:t>
                  </w:r>
                </w:p>
              </w:tc>
              <w:tc>
                <w:tcPr>
                  <w:tcW w:w="834" w:type="dxa"/>
                  <w:noWrap w:val="0"/>
                  <w:vAlign w:val="top"/>
                </w:tcPr>
                <w:p>
                  <w:pPr>
                    <w:rPr>
                      <w:rFonts w:hint="eastAsia"/>
                      <w:bCs/>
                      <w:szCs w:val="21"/>
                    </w:rPr>
                  </w:pPr>
                  <w:r>
                    <w:rPr>
                      <w:rFonts w:hint="eastAsia"/>
                      <w:bCs/>
                      <w:szCs w:val="21"/>
                    </w:rPr>
                    <w:t>1</w:t>
                  </w:r>
                </w:p>
              </w:tc>
              <w:tc>
                <w:tcPr>
                  <w:tcW w:w="1117" w:type="dxa"/>
                  <w:noWrap w:val="0"/>
                  <w:vAlign w:val="top"/>
                </w:tcPr>
                <w:p>
                  <w:pPr>
                    <w:jc w:val="center"/>
                    <w:rPr>
                      <w:rFonts w:hint="eastAsia"/>
                      <w:bCs/>
                      <w:szCs w:val="21"/>
                    </w:rPr>
                  </w:pPr>
                </w:p>
              </w:tc>
              <w:tc>
                <w:tcPr>
                  <w:tcW w:w="1143" w:type="dxa"/>
                  <w:noWrap w:val="0"/>
                  <w:vAlign w:val="top"/>
                </w:tcPr>
                <w:p>
                  <w:pPr>
                    <w:jc w:val="center"/>
                    <w:rPr>
                      <w:rFonts w:hint="eastAsia"/>
                      <w:bCs/>
                      <w:szCs w:val="21"/>
                    </w:rPr>
                  </w:pPr>
                </w:p>
              </w:tc>
              <w:tc>
                <w:tcPr>
                  <w:tcW w:w="1117" w:type="dxa"/>
                  <w:noWrap w:val="0"/>
                  <w:vAlign w:val="top"/>
                </w:tcPr>
                <w:p>
                  <w:pPr>
                    <w:jc w:val="center"/>
                    <w:rPr>
                      <w:bCs/>
                      <w:szCs w:val="21"/>
                    </w:rPr>
                  </w:pPr>
                  <w:r>
                    <w:rPr>
                      <w:rFonts w:hint="eastAsia"/>
                      <w:bCs/>
                      <w:szCs w:val="21"/>
                      <w:lang w:val="en-US" w:eastAsia="zh-CN"/>
                    </w:rPr>
                    <w:t>30000</w:t>
                  </w:r>
                  <w:r>
                    <w:rPr>
                      <w:bCs/>
                      <w:szCs w:val="21"/>
                    </w:rPr>
                    <w:t>.00</w:t>
                  </w:r>
                </w:p>
              </w:tc>
            </w:tr>
          </w:tbl>
          <w:p>
            <w:pPr>
              <w:jc w:val="center"/>
              <w:rPr>
                <w:rFonts w:hint="eastAsia"/>
                <w:bCs/>
                <w:szCs w:val="21"/>
              </w:rPr>
            </w:pP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具体技术要求</w:t>
            </w:r>
          </w:p>
        </w:tc>
        <w:tc>
          <w:tcPr>
            <w:tcW w:w="9265" w:type="dxa"/>
            <w:gridSpan w:val="4"/>
            <w:noWrap w:val="0"/>
            <w:vAlign w:val="top"/>
          </w:tcPr>
          <w:p>
            <w:pPr>
              <w:rPr>
                <w:rFonts w:hint="eastAsia"/>
              </w:rPr>
            </w:pPr>
            <w:r>
              <w:rPr>
                <w:rFonts w:hint="eastAsia"/>
              </w:rPr>
              <w:t>注意：提供服务总体要求、服务标的（如人员、车辆、检测对象、管理对象）数量情况、详细具体的服务需求内容及工作量情况（以能给供应商准确的报价依据，使不同供应商的项目报价不至于差距过大作为判断需求“详细具体”的标准）</w:t>
            </w:r>
          </w:p>
          <w:p>
            <w:pPr>
              <w:spacing w:line="460" w:lineRule="exact"/>
              <w:rPr>
                <w:rFonts w:hint="eastAsia"/>
              </w:rPr>
            </w:pPr>
            <w:r>
              <w:rPr>
                <w:rFonts w:hint="eastAsia"/>
              </w:rPr>
              <w:t>一、本项目全过程工程咨询服务内容包括（不限于）：项目全过程项目管理（包括但不限于前期策划及施工管理）、工程施工监理等项目全生命周期的咨询管理服务，以及投资、质量、进度、安全、信息等管理与协调等工作。</w:t>
            </w:r>
          </w:p>
          <w:p>
            <w:pPr>
              <w:rPr>
                <w:rFonts w:hint="eastAsia"/>
              </w:rPr>
            </w:pPr>
            <w:r>
              <w:rPr>
                <w:rFonts w:hint="eastAsia"/>
              </w:rPr>
              <w:t>二、具体服务需求：</w:t>
            </w:r>
          </w:p>
          <w:p>
            <w:pPr>
              <w:rPr>
                <w:rFonts w:hint="eastAsia"/>
              </w:rPr>
            </w:pPr>
            <w:r>
              <w:rPr>
                <w:rFonts w:hint="eastAsia"/>
              </w:rPr>
              <w:t>（一）全过程项目管理</w:t>
            </w:r>
          </w:p>
          <w:p>
            <w:pPr>
              <w:rPr>
                <w:rFonts w:hint="eastAsia"/>
              </w:rPr>
            </w:pPr>
            <w:r>
              <w:rPr>
                <w:rFonts w:hint="eastAsia"/>
                <w:lang w:val="en-US" w:eastAsia="zh-CN"/>
              </w:rPr>
              <w:t>1</w:t>
            </w:r>
            <w:r>
              <w:rPr>
                <w:rFonts w:hint="eastAsia"/>
              </w:rPr>
              <w:t>、施工准备阶段 ：协助办理有关施工进场报批手续；做好开工前准备工作，为工程的顺利开工创造有利条件；组建项目管理部，抽调有项目管理服务经验的技术骨干担任管理负责人，进驻施工现场，代表业主提供全过程的管理服务，对工程的总工期、总体质量、总造价进行全过程控制和管理；</w:t>
            </w:r>
            <w:r>
              <w:rPr>
                <w:rFonts w:hint="eastAsia"/>
                <w:lang w:val="en-US" w:eastAsia="zh-CN"/>
              </w:rPr>
              <w:t>2</w:t>
            </w:r>
            <w:r>
              <w:rPr>
                <w:rFonts w:hint="eastAsia"/>
              </w:rPr>
              <w:t>、工程施工阶段 ：主要工作包括但不限于：根据工程实施计划进行施工场地的规划，组织测量、放线、验线，组织施工单位进场施工；协调各关联方的关系，对施工单位的合同履约情况进行督促检查，对项目的安全、进度、质量、投资进行控制；协调学校同施工单位关系，组织施工单位进场施工；组织召开工程例会，建立相关的工作程序、制度，协调各方的关系。协助处理施工过程的变更；准备进行工程的验收及移交等工作。</w:t>
            </w:r>
          </w:p>
          <w:p>
            <w:pPr>
              <w:rPr>
                <w:rFonts w:hint="eastAsia"/>
              </w:rPr>
            </w:pPr>
            <w:r>
              <w:rPr>
                <w:rFonts w:hint="eastAsia"/>
                <w:lang w:val="en-US" w:eastAsia="zh-CN"/>
              </w:rPr>
              <w:t>3</w:t>
            </w:r>
            <w:r>
              <w:rPr>
                <w:rFonts w:hint="eastAsia"/>
              </w:rPr>
              <w:t>、 竣工及保修阶段，负责制定验收和移交（包括中间验收和移交）计划和竣（交）工验收计划，并提交业主审查、审批；协助业主组织验收和移交（包括中间验收和移交），并负责汇总验收、移交资料；在保修期内协助业主按质监机构要求督促管理承包人进行整改和重新组织验收；审批施工单位的工程结算，做好合同的竣工结算审核工作；负责组织审核工程竣工结算、协助业主竣工决算送审；工程竣工验收合格后，协助业主完善工程竣工档案，并移交至相关档案管理部门。</w:t>
            </w:r>
          </w:p>
          <w:p>
            <w:pPr>
              <w:rPr>
                <w:rFonts w:hint="eastAsia"/>
              </w:rPr>
            </w:pPr>
            <w:r>
              <w:rPr>
                <w:rFonts w:hint="eastAsia"/>
              </w:rPr>
              <w:t>（</w:t>
            </w:r>
            <w:r>
              <w:rPr>
                <w:rFonts w:hint="eastAsia"/>
                <w:lang w:val="en-US" w:eastAsia="zh-CN"/>
              </w:rPr>
              <w:t>二</w:t>
            </w:r>
            <w:r>
              <w:rPr>
                <w:rFonts w:hint="eastAsia"/>
              </w:rPr>
              <w:t>）施工过程监理</w:t>
            </w:r>
          </w:p>
          <w:p>
            <w:pPr>
              <w:ind w:firstLine="210" w:firstLineChars="100"/>
              <w:rPr>
                <w:rFonts w:hint="eastAsia"/>
              </w:rPr>
            </w:pPr>
            <w:r>
              <w:rPr>
                <w:rFonts w:hint="eastAsia"/>
              </w:rPr>
              <w:t>1、中标人须承诺在施工监理期间，根据投标监理机构人员配置情况派驻专业工程师常驻施工现场，按监理人职责对施工进行监督。</w:t>
            </w:r>
          </w:p>
          <w:p>
            <w:pPr>
              <w:ind w:firstLine="210" w:firstLineChars="100"/>
              <w:rPr>
                <w:rFonts w:hint="eastAsia"/>
              </w:rPr>
            </w:pPr>
            <w:r>
              <w:rPr>
                <w:rFonts w:hint="eastAsia"/>
              </w:rPr>
              <w:t>2、应对施工组织设计中的安全技术措施或专项施工方案进行审查，未进行审查的，中标人应承担《建设工程安全生产管理条例》第五十七条规定的法律责任。</w:t>
            </w:r>
          </w:p>
          <w:p>
            <w:pPr>
              <w:ind w:firstLine="210" w:firstLineChars="100"/>
              <w:rPr>
                <w:rFonts w:hint="eastAsia"/>
              </w:rPr>
            </w:pPr>
            <w:r>
              <w:rPr>
                <w:rFonts w:hint="eastAsia"/>
              </w:rPr>
              <w:t>3、在工程监理的过程中，有违背职业道德准则和行为规范，专业技术能力不强及工作敬业精神欠缺时，招标人有权对监理人员﹙包括总监﹚进行撤换。</w:t>
            </w:r>
          </w:p>
          <w:p>
            <w:pPr>
              <w:ind w:firstLine="210" w:firstLineChars="100"/>
              <w:rPr>
                <w:rFonts w:hint="eastAsia"/>
              </w:rPr>
            </w:pPr>
            <w:r>
              <w:rPr>
                <w:rFonts w:hint="eastAsia"/>
              </w:rPr>
              <w:t>4、施工组织设计中的安全技术措施或专项施工方案未经监理人审查签字认可，承包人擅自施工的，应及时下达工程暂停令，并将情况及时书面报告委托人。未及时制止并报告的，应承担《建设工程安全生产管理条例》第五十七条规定的法律责任。</w:t>
            </w:r>
          </w:p>
          <w:p>
            <w:pPr>
              <w:ind w:firstLine="210" w:firstLineChars="100"/>
              <w:contextualSpacing/>
              <w:rPr>
                <w:rFonts w:hint="eastAsia"/>
              </w:rPr>
            </w:pPr>
            <w:r>
              <w:rPr>
                <w:rFonts w:hint="eastAsia"/>
              </w:rPr>
              <w:t>5、在监理巡视检查过程中，发现存在安全隐患的，应按照有关规定及时下达书面指令要求承包人进行整改或停止施工。中标人没有及时下达书面指令要求承包人进行整改或停止施工的，应承担《建设工程安全生产管理条例》第五十七条规定的法律责任。</w:t>
            </w:r>
          </w:p>
          <w:p>
            <w:pPr>
              <w:ind w:firstLine="210" w:firstLineChars="100"/>
              <w:contextualSpacing/>
              <w:rPr>
                <w:rFonts w:hint="eastAsia"/>
              </w:rPr>
            </w:pPr>
            <w:r>
              <w:rPr>
                <w:rFonts w:hint="eastAsia"/>
              </w:rPr>
              <w:t>（</w:t>
            </w:r>
            <w:r>
              <w:rPr>
                <w:rFonts w:hint="eastAsia"/>
                <w:lang w:val="en-US" w:eastAsia="zh-CN"/>
              </w:rPr>
              <w:t>三</w:t>
            </w:r>
            <w:r>
              <w:rPr>
                <w:rFonts w:hint="eastAsia"/>
              </w:rPr>
              <w:t>）项目负责人资格要求</w:t>
            </w:r>
          </w:p>
          <w:p>
            <w:pPr>
              <w:ind w:firstLine="210" w:firstLineChars="100"/>
              <w:contextualSpacing/>
              <w:rPr>
                <w:rFonts w:hint="eastAsia"/>
              </w:rPr>
            </w:pPr>
            <w:r>
              <w:rPr>
                <w:rFonts w:hint="eastAsia"/>
              </w:rPr>
              <w:t>1、项目总负责人（若为联合体投标，由联合体牵头单位委派）须具有工程建设类注册执业资格且具有工程类或工程经济类中级及以上职称；</w:t>
            </w:r>
          </w:p>
          <w:p>
            <w:pPr>
              <w:ind w:firstLine="210" w:firstLineChars="100"/>
              <w:contextualSpacing/>
              <w:rPr>
                <w:rFonts w:hint="eastAsia"/>
              </w:rPr>
            </w:pPr>
            <w:r>
              <w:rPr>
                <w:rFonts w:hint="eastAsia"/>
              </w:rPr>
              <w:t>2、根据本项目需求，须配备项目设计负责人（若为联合体投标，由承担设计工作的单位委派）、项目总监理工程师（若为联合体投标，由承担监理工作的单位委派）、造价项目负责人（若为联合体投标，由承担造价咨询工作的单位委派）各1人。</w:t>
            </w:r>
          </w:p>
          <w:p>
            <w:pPr>
              <w:ind w:firstLine="210" w:firstLineChars="100"/>
              <w:contextualSpacing/>
              <w:rPr>
                <w:rFonts w:hint="eastAsia"/>
              </w:rPr>
            </w:pPr>
            <w:r>
              <w:rPr>
                <w:rFonts w:hint="eastAsia"/>
              </w:rPr>
              <w:t>3、项目总负责人、总监理工程师不得相互兼任。总监理工程师的任职行为须满足《深圳市规范项目经理和项目总监任职行为的若干规定》的相关规定。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433" w:type="dxa"/>
            <w:noWrap w:val="0"/>
            <w:vAlign w:val="top"/>
          </w:tcPr>
          <w:p>
            <w:pPr>
              <w:jc w:val="center"/>
              <w:rPr>
                <w:rFonts w:hint="eastAsia" w:ascii="宋体" w:hAnsi="宋体" w:cs="宋体"/>
                <w:kern w:val="0"/>
                <w:szCs w:val="21"/>
              </w:rPr>
            </w:pPr>
            <w:r>
              <w:rPr>
                <w:rFonts w:hint="eastAsia" w:ascii="宋体" w:hAnsi="宋体" w:cs="宋体"/>
                <w:kern w:val="0"/>
                <w:szCs w:val="21"/>
              </w:rPr>
              <w:t>商务需求</w:t>
            </w:r>
          </w:p>
        </w:tc>
        <w:tc>
          <w:tcPr>
            <w:tcW w:w="9265" w:type="dxa"/>
            <w:gridSpan w:val="4"/>
            <w:noWrap w:val="0"/>
            <w:vAlign w:val="top"/>
          </w:tcPr>
          <w:p>
            <w:pPr>
              <w:rPr>
                <w:rFonts w:hint="eastAsia"/>
              </w:rPr>
            </w:pPr>
            <w:r>
              <w:rPr>
                <w:rFonts w:hint="eastAsia"/>
              </w:rPr>
              <w:t>注意：提供项目服务期限（完成期限）、项目进度安排、付款方式、验收要求、培训要求、售后服务要求</w:t>
            </w:r>
          </w:p>
          <w:p>
            <w:pPr>
              <w:ind w:firstLine="422" w:firstLineChars="200"/>
              <w:rPr>
                <w:rFonts w:hint="eastAsia"/>
              </w:rPr>
            </w:pPr>
            <w:r>
              <w:rPr>
                <w:rFonts w:hint="eastAsia"/>
                <w:b/>
                <w:bCs/>
              </w:rPr>
              <w:t>1、全过程咨询服务期限：</w:t>
            </w:r>
            <w:r>
              <w:rPr>
                <w:rFonts w:hint="eastAsia"/>
              </w:rPr>
              <w:t>为招标人发出中标通知书之日起至项目保修期满为止（保修期为项目通过验收后24个月）。中标人必须按照合同约定履行全过程咨询服务任务，咨询服务费用以咨询单位完成合同规定的全过程咨询服务为依据，不因管理咨询服务时间的变化而改变。</w:t>
            </w:r>
          </w:p>
          <w:p>
            <w:pPr>
              <w:ind w:firstLine="422" w:firstLineChars="200"/>
              <w:rPr>
                <w:rFonts w:hint="eastAsia" w:ascii="宋体" w:hAnsi="宋体"/>
              </w:rPr>
            </w:pPr>
            <w:r>
              <w:rPr>
                <w:rFonts w:hint="eastAsia"/>
                <w:b/>
                <w:bCs/>
              </w:rPr>
              <w:t>2、全过程工程咨询服务费测算：经初步统计，拟进行全过程工程咨询的项目包括：</w:t>
            </w:r>
            <w:r>
              <w:rPr>
                <w:rFonts w:hint="eastAsia" w:ascii="宋体" w:hAnsi="宋体" w:eastAsia="宋体" w:cs="宋体"/>
                <w:szCs w:val="21"/>
                <w:lang w:val="en-US" w:eastAsia="zh-CN"/>
              </w:rPr>
              <w:t>图书馆二、三楼局部空间改造工程项目</w:t>
            </w:r>
            <w:r>
              <w:rPr>
                <w:rFonts w:hint="eastAsia" w:ascii="宋体" w:hAnsi="宋体" w:cs="宋体"/>
                <w:szCs w:val="21"/>
                <w:lang w:val="en-US" w:eastAsia="zh-CN"/>
              </w:rPr>
              <w:t>65</w:t>
            </w:r>
            <w:r>
              <w:rPr>
                <w:rFonts w:hint="eastAsia" w:ascii="宋体" w:hAnsi="宋体" w:eastAsia="宋体" w:cs="宋体"/>
                <w:szCs w:val="21"/>
                <w:lang w:val="en-US" w:eastAsia="zh-CN"/>
              </w:rPr>
              <w:t>万</w:t>
            </w:r>
            <w:r>
              <w:rPr>
                <w:rFonts w:hint="eastAsia" w:ascii="宋体" w:hAnsi="宋体" w:eastAsia="宋体" w:cs="宋体"/>
                <w:szCs w:val="21"/>
                <w:lang w:eastAsia="zh-CN"/>
              </w:rPr>
              <w:t>元</w:t>
            </w:r>
            <w:r>
              <w:rPr>
                <w:rFonts w:hint="eastAsia" w:ascii="宋体" w:hAnsi="宋体"/>
              </w:rPr>
              <w:t>。拟按以上项目预算投资进行全过程工程咨询服务费的测算（包括全过程项目管理、监理）。具体如下：</w:t>
            </w:r>
          </w:p>
          <w:p>
            <w:pPr>
              <w:ind w:firstLine="210" w:firstLineChars="100"/>
              <w:rPr>
                <w:rFonts w:ascii="宋体" w:hAnsi="宋体"/>
                <w:color w:val="000000"/>
                <w:sz w:val="24"/>
              </w:rPr>
            </w:pPr>
            <w:r>
              <w:rPr>
                <w:rFonts w:hint="eastAsia" w:ascii="宋体" w:hAnsi="宋体"/>
              </w:rPr>
              <w:t>（1）项目管理费：依据《基本建设财务管理规定》（财建基[2002]394号）计算，总投资</w:t>
            </w:r>
            <w:r>
              <w:rPr>
                <w:rFonts w:hint="eastAsia" w:ascii="宋体" w:hAnsi="宋体"/>
                <w:lang w:val="en-US" w:eastAsia="zh-CN"/>
              </w:rPr>
              <w:t>65</w:t>
            </w:r>
            <w:r>
              <w:rPr>
                <w:rFonts w:hint="eastAsia" w:ascii="宋体" w:hAnsi="宋体"/>
              </w:rPr>
              <w:t>万元测算,项目管理费计算如下：</w:t>
            </w:r>
            <w:r>
              <w:rPr>
                <w:rFonts w:ascii="宋体" w:hAnsi="宋体"/>
              </w:rPr>
              <w:t>项目管理费=计划总投资×</w:t>
            </w:r>
            <w:r>
              <w:rPr>
                <w:rFonts w:hint="eastAsia" w:ascii="宋体" w:hAnsi="宋体"/>
              </w:rPr>
              <w:t>1.5%</w:t>
            </w:r>
            <w:r>
              <w:rPr>
                <w:rFonts w:ascii="宋体" w:hAnsi="宋体"/>
              </w:rPr>
              <w:t>=</w:t>
            </w:r>
            <w:r>
              <w:rPr>
                <w:rFonts w:hint="eastAsia" w:ascii="宋体" w:hAnsi="宋体"/>
                <w:lang w:val="en-US" w:eastAsia="zh-CN"/>
              </w:rPr>
              <w:t>93</w:t>
            </w:r>
            <w:r>
              <w:rPr>
                <w:rFonts w:hint="eastAsia" w:ascii="宋体" w:hAnsi="宋体"/>
              </w:rPr>
              <w:t>万元</w:t>
            </w:r>
            <w:r>
              <w:rPr>
                <w:rFonts w:ascii="宋体" w:hAnsi="宋体"/>
              </w:rPr>
              <w:t>×</w:t>
            </w:r>
            <w:r>
              <w:rPr>
                <w:rFonts w:hint="eastAsia" w:ascii="宋体" w:hAnsi="宋体"/>
              </w:rPr>
              <w:t>1.5%=</w:t>
            </w:r>
            <w:r>
              <w:rPr>
                <w:rFonts w:hint="eastAsia" w:ascii="宋体" w:hAnsi="宋体"/>
                <w:lang w:val="en-US" w:eastAsia="zh-CN"/>
              </w:rPr>
              <w:t>9750</w:t>
            </w:r>
            <w:r>
              <w:rPr>
                <w:rFonts w:ascii="宋体" w:hAnsi="宋体"/>
              </w:rPr>
              <w:t>元</w:t>
            </w:r>
            <w:r>
              <w:rPr>
                <w:rFonts w:hint="eastAsia" w:ascii="宋体" w:hAnsi="宋体"/>
              </w:rPr>
              <w:t>；建安工程费在3000万以下按表中费率的1.2倍计算：</w:t>
            </w:r>
            <w:r>
              <w:rPr>
                <w:rFonts w:hint="eastAsia" w:ascii="宋体" w:hAnsi="宋体"/>
                <w:lang w:val="en-US" w:eastAsia="zh-CN"/>
              </w:rPr>
              <w:t>9750</w:t>
            </w:r>
            <w:r>
              <w:rPr>
                <w:rFonts w:hint="eastAsia" w:ascii="宋体" w:hAnsi="宋体"/>
              </w:rPr>
              <w:t>元</w:t>
            </w:r>
            <w:r>
              <w:rPr>
                <w:rFonts w:ascii="宋体" w:hAnsi="宋体"/>
              </w:rPr>
              <w:t>×</w:t>
            </w:r>
            <w:r>
              <w:rPr>
                <w:rFonts w:hint="eastAsia" w:ascii="宋体" w:hAnsi="宋体"/>
              </w:rPr>
              <w:t>1.2=</w:t>
            </w:r>
            <w:r>
              <w:rPr>
                <w:rFonts w:hint="eastAsia" w:ascii="宋体" w:hAnsi="宋体"/>
                <w:lang w:val="en-US" w:eastAsia="zh-CN"/>
              </w:rPr>
              <w:t>1.17</w:t>
            </w:r>
            <w:r>
              <w:rPr>
                <w:rFonts w:hint="eastAsia" w:ascii="宋体" w:hAnsi="宋体"/>
              </w:rPr>
              <w:t>万元。</w:t>
            </w:r>
          </w:p>
          <w:p>
            <w:pPr>
              <w:ind w:left="210"/>
              <w:rPr>
                <w:rFonts w:hint="eastAsia"/>
              </w:rPr>
            </w:pPr>
            <w:r>
              <w:rPr>
                <w:rFonts w:hint="eastAsia"/>
                <w:highlight w:val="lightGray"/>
              </w:rPr>
              <w:t>（</w:t>
            </w:r>
            <w:r>
              <w:rPr>
                <w:rFonts w:hint="eastAsia"/>
                <w:highlight w:val="lightGray"/>
                <w:lang w:val="en-US" w:eastAsia="zh-CN"/>
              </w:rPr>
              <w:t>2</w:t>
            </w:r>
            <w:r>
              <w:rPr>
                <w:rFonts w:hint="eastAsia"/>
                <w:highlight w:val="lightGray"/>
              </w:rPr>
              <w:t>）</w:t>
            </w:r>
            <w:r>
              <w:rPr>
                <w:rFonts w:hint="eastAsia"/>
                <w:b/>
                <w:bCs/>
              </w:rPr>
              <w:t>监理费：</w:t>
            </w:r>
            <w:r>
              <w:rPr>
                <w:rFonts w:hint="eastAsia"/>
              </w:rPr>
              <w:t>根据国家发展改革委、建设部联合发布的《建设工程监理与相关服务收费管理规定》</w:t>
            </w:r>
          </w:p>
          <w:p>
            <w:pPr>
              <w:ind w:left="210"/>
            </w:pPr>
            <w:r>
              <w:rPr>
                <w:rFonts w:hint="eastAsia"/>
              </w:rPr>
              <w:t>（[2007]670号）的规定，</w:t>
            </w:r>
            <w:r>
              <w:t>监理服务收费基准价=监理服务收费基价×专业调整系数× 工程复杂程度调整系数×高程调整系数</w:t>
            </w:r>
            <w:r>
              <w:rPr>
                <w:rFonts w:hint="eastAsia"/>
              </w:rPr>
              <w:t>,</w:t>
            </w:r>
            <w:r>
              <w:t>监理服务收费基价</w:t>
            </w:r>
            <w:r>
              <w:rPr>
                <w:rFonts w:hint="eastAsia"/>
              </w:rPr>
              <w:t>（低于500万）</w:t>
            </w:r>
            <w:r>
              <w:t>=</w:t>
            </w:r>
            <w:r>
              <w:rPr>
                <w:rFonts w:hint="eastAsia"/>
              </w:rPr>
              <w:t>（</w:t>
            </w:r>
            <w:r>
              <w:rPr>
                <w:rFonts w:hint="eastAsia"/>
                <w:lang w:val="en-US" w:eastAsia="zh-CN"/>
              </w:rPr>
              <w:t>65</w:t>
            </w:r>
            <w:r>
              <w:rPr>
                <w:rFonts w:hint="eastAsia"/>
              </w:rPr>
              <w:t>/500）</w:t>
            </w:r>
            <w:r>
              <w:t>×</w:t>
            </w:r>
            <w:r>
              <w:rPr>
                <w:rFonts w:hint="eastAsia"/>
              </w:rPr>
              <w:t>16.5=</w:t>
            </w:r>
            <w:r>
              <w:rPr>
                <w:rFonts w:hint="eastAsia"/>
                <w:lang w:val="en-US" w:eastAsia="zh-CN"/>
              </w:rPr>
              <w:t>2.145</w:t>
            </w:r>
            <w:r>
              <w:t>万元</w:t>
            </w:r>
            <w:r>
              <w:rPr>
                <w:rFonts w:hint="eastAsia"/>
              </w:rPr>
              <w:t>,</w:t>
            </w:r>
          </w:p>
          <w:p>
            <w:pPr>
              <w:ind w:left="210"/>
              <w:rPr>
                <w:rFonts w:hint="eastAsia"/>
              </w:rPr>
            </w:pPr>
            <w:r>
              <w:t>监理服务收费基准价=</w:t>
            </w:r>
            <w:r>
              <w:rPr>
                <w:rFonts w:hint="eastAsia"/>
                <w:lang w:val="en-US" w:eastAsia="zh-CN"/>
              </w:rPr>
              <w:t>2.145</w:t>
            </w:r>
            <w:r>
              <w:t>×1.0×0.85×1.0=</w:t>
            </w:r>
            <w:r>
              <w:rPr>
                <w:rFonts w:hint="eastAsia"/>
                <w:lang w:val="en-US" w:eastAsia="zh-CN"/>
              </w:rPr>
              <w:t>1.82</w:t>
            </w:r>
            <w:r>
              <w:t>万元</w:t>
            </w:r>
            <w:r>
              <w:rPr>
                <w:rFonts w:hint="eastAsia"/>
              </w:rPr>
              <w:t>。</w:t>
            </w:r>
          </w:p>
          <w:p>
            <w:pPr>
              <w:ind w:firstLine="422" w:firstLineChars="200"/>
              <w:jc w:val="left"/>
              <w:rPr>
                <w:rFonts w:hint="eastAsia"/>
                <w:b/>
                <w:bCs/>
              </w:rPr>
            </w:pPr>
            <w:r>
              <w:rPr>
                <w:rFonts w:hint="eastAsia"/>
                <w:b/>
                <w:bCs/>
              </w:rPr>
              <w:t>综上，本项目全过程工程咨询服务费测算为：</w:t>
            </w:r>
            <w:r>
              <w:rPr>
                <w:rFonts w:hint="eastAsia"/>
                <w:b/>
                <w:bCs/>
                <w:lang w:val="en-US" w:eastAsia="zh-CN"/>
              </w:rPr>
              <w:t>1.17</w:t>
            </w:r>
            <w:r>
              <w:rPr>
                <w:rFonts w:hint="eastAsia"/>
                <w:b/>
                <w:bCs/>
              </w:rPr>
              <w:t>+</w:t>
            </w:r>
            <w:r>
              <w:rPr>
                <w:rFonts w:hint="eastAsia"/>
                <w:b/>
                <w:bCs/>
                <w:lang w:val="en-US" w:eastAsia="zh-CN"/>
              </w:rPr>
              <w:t>1.82</w:t>
            </w:r>
            <w:r>
              <w:rPr>
                <w:rFonts w:hint="eastAsia"/>
                <w:b/>
                <w:bCs/>
              </w:rPr>
              <w:t>=</w:t>
            </w:r>
            <w:r>
              <w:rPr>
                <w:rFonts w:hint="eastAsia"/>
                <w:b/>
                <w:bCs/>
                <w:lang w:val="en-US" w:eastAsia="zh-CN"/>
              </w:rPr>
              <w:t>2.99</w:t>
            </w:r>
            <w:r>
              <w:rPr>
                <w:rFonts w:hint="eastAsia"/>
                <w:b/>
                <w:bCs/>
              </w:rPr>
              <w:t>万元，拟按</w:t>
            </w:r>
            <w:r>
              <w:rPr>
                <w:rFonts w:hint="eastAsia"/>
                <w:b/>
                <w:bCs/>
                <w:lang w:val="en-US" w:eastAsia="zh-CN"/>
              </w:rPr>
              <w:t>3</w:t>
            </w:r>
            <w:r>
              <w:rPr>
                <w:rFonts w:hint="eastAsia"/>
                <w:b/>
                <w:bCs/>
              </w:rPr>
              <w:t>万元为招标控制价进行限额招标。</w:t>
            </w:r>
          </w:p>
          <w:p>
            <w:pPr>
              <w:ind w:firstLine="422" w:firstLineChars="200"/>
              <w:jc w:val="left"/>
              <w:rPr>
                <w:rFonts w:hint="eastAsia"/>
              </w:rPr>
            </w:pPr>
            <w:r>
              <w:rPr>
                <w:rFonts w:hint="eastAsia"/>
                <w:b/>
                <w:bCs/>
              </w:rPr>
              <w:t>3、合同价：</w:t>
            </w:r>
            <w:r>
              <w:rPr>
                <w:rFonts w:hint="eastAsia"/>
              </w:rPr>
              <w:t>按中标人实际中标价为合同价。合同价已包括了为实施和完成本项目全过程工程咨询咨询工作所需的劳务费、技术服务费、检测仪器设备的使用和管理、保险、税费和利润等费用。</w:t>
            </w:r>
          </w:p>
          <w:p>
            <w:pPr>
              <w:ind w:firstLine="422" w:firstLineChars="200"/>
              <w:jc w:val="left"/>
            </w:pPr>
            <w:r>
              <w:rPr>
                <w:rFonts w:hint="eastAsia"/>
                <w:b/>
                <w:bCs/>
                <w:lang w:val="en-US" w:eastAsia="zh-CN"/>
              </w:rPr>
              <w:t>4</w:t>
            </w:r>
            <w:r>
              <w:rPr>
                <w:rFonts w:hint="eastAsia"/>
                <w:b/>
                <w:bCs/>
              </w:rPr>
              <w:t>、费用支付：</w:t>
            </w:r>
            <w:r>
              <w:rPr>
                <w:rFonts w:hint="eastAsia"/>
              </w:rPr>
              <w:t>按项目节点分阶段支付。</w:t>
            </w:r>
          </w:p>
          <w:p>
            <w:pPr>
              <w:jc w:val="left"/>
            </w:pPr>
            <w:r>
              <w:rPr>
                <w:rFonts w:hint="eastAsia"/>
              </w:rPr>
              <w:t>（</w:t>
            </w:r>
            <w:r>
              <w:rPr>
                <w:rFonts w:hint="eastAsia"/>
                <w:lang w:val="en-US" w:eastAsia="zh-CN"/>
              </w:rPr>
              <w:t>1</w:t>
            </w:r>
            <w:r>
              <w:rPr>
                <w:rFonts w:hint="eastAsia"/>
              </w:rPr>
              <w:t>）咨询合同签订后</w:t>
            </w:r>
            <w:r>
              <w:rPr>
                <w:rFonts w:hint="eastAsia"/>
                <w:lang w:eastAsia="zh-CN"/>
              </w:rPr>
              <w:t>，</w:t>
            </w:r>
            <w:r>
              <w:rPr>
                <w:rFonts w:hint="eastAsia"/>
              </w:rPr>
              <w:t>完成项目施工</w:t>
            </w:r>
            <w:r>
              <w:rPr>
                <w:rFonts w:hint="eastAsia"/>
                <w:lang w:val="en-US" w:eastAsia="zh-CN"/>
              </w:rPr>
              <w:t>管理</w:t>
            </w:r>
            <w:r>
              <w:rPr>
                <w:rFonts w:hint="eastAsia"/>
              </w:rPr>
              <w:t xml:space="preserve">、监理人员进场、签发施工开工令后，支付合同价的 </w:t>
            </w:r>
            <w:r>
              <w:rPr>
                <w:rFonts w:hint="eastAsia"/>
                <w:lang w:val="en-US" w:eastAsia="zh-CN"/>
              </w:rPr>
              <w:t>5</w:t>
            </w:r>
            <w:r>
              <w:rPr>
                <w:rFonts w:hint="eastAsia"/>
              </w:rPr>
              <w:t>0 %。</w:t>
            </w:r>
          </w:p>
          <w:p>
            <w:pPr>
              <w:jc w:val="left"/>
              <w:rPr>
                <w:rFonts w:hint="eastAsia"/>
              </w:rPr>
            </w:pPr>
            <w:r>
              <w:rPr>
                <w:rFonts w:hint="eastAsia"/>
              </w:rPr>
              <w:t>（</w:t>
            </w:r>
            <w:r>
              <w:rPr>
                <w:rFonts w:hint="eastAsia"/>
                <w:lang w:val="en-US" w:eastAsia="zh-CN"/>
              </w:rPr>
              <w:t>2</w:t>
            </w:r>
            <w:r>
              <w:rPr>
                <w:rFonts w:hint="eastAsia"/>
              </w:rPr>
              <w:t>）招标人拟需进行的全过程工程咨询服务项目全部竣工验收完或所在工程经办人签字确认后，招标人支付至咨询服务费结算价的100%。</w:t>
            </w:r>
          </w:p>
          <w:p>
            <w:pPr>
              <w:jc w:val="left"/>
            </w:pPr>
            <w:r>
              <w:rPr>
                <w:rFonts w:hint="eastAsia"/>
              </w:rPr>
              <w:t xml:space="preserve">   </w:t>
            </w:r>
          </w:p>
          <w:p>
            <w:pPr>
              <w:numPr>
                <w:ilvl w:val="0"/>
                <w:numId w:val="0"/>
              </w:numPr>
              <w:rPr>
                <w:rFonts w:hint="eastAsia" w:ascii="宋体" w:hAnsi="宋体"/>
                <w:kern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2" w:hRule="atLeast"/>
        </w:trPr>
        <w:tc>
          <w:tcPr>
            <w:tcW w:w="433" w:type="dxa"/>
            <w:noWrap w:val="0"/>
            <w:vAlign w:val="top"/>
          </w:tcPr>
          <w:p>
            <w:pPr>
              <w:jc w:val="center"/>
              <w:rPr>
                <w:rFonts w:hint="eastAsia" w:ascii="宋体" w:hAnsi="宋体" w:cs="宋体"/>
                <w:kern w:val="0"/>
                <w:szCs w:val="21"/>
              </w:rPr>
            </w:pPr>
          </w:p>
        </w:tc>
        <w:tc>
          <w:tcPr>
            <w:tcW w:w="9265" w:type="dxa"/>
            <w:gridSpan w:val="4"/>
            <w:noWrap w:val="0"/>
            <w:vAlign w:val="top"/>
          </w:tcPr>
          <w:p>
            <w:pPr>
              <w:spacing w:after="156" w:afterLines="50" w:line="500" w:lineRule="exact"/>
              <w:jc w:val="left"/>
              <w:rPr>
                <w:rFonts w:hint="eastAsia" w:ascii="仿宋_GB2312" w:eastAsia="仿宋_GB2312"/>
                <w:b/>
                <w:bCs/>
                <w:sz w:val="24"/>
              </w:rPr>
            </w:pPr>
          </w:p>
          <w:p>
            <w:pPr>
              <w:wordWrap w:val="0"/>
              <w:jc w:val="right"/>
              <w:rPr>
                <w:rFonts w:ascii="黑体" w:hAnsi="黑体" w:eastAsia="黑体"/>
                <w:sz w:val="28"/>
                <w:szCs w:val="28"/>
              </w:rPr>
            </w:pPr>
            <w:r>
              <w:rPr>
                <w:rFonts w:hint="eastAsia" w:ascii="黑体" w:hAnsi="黑体" w:eastAsia="黑体"/>
                <w:sz w:val="28"/>
                <w:szCs w:val="28"/>
              </w:rPr>
              <w:t>工程编号：</w:t>
            </w:r>
            <w:r>
              <w:rPr>
                <w:rFonts w:hint="eastAsia" w:ascii="黑体" w:hAnsi="黑体" w:eastAsia="黑体"/>
                <w:sz w:val="28"/>
                <w:szCs w:val="28"/>
                <w:u w:val="single"/>
              </w:rPr>
              <w:t xml:space="preserve">                    </w:t>
            </w:r>
          </w:p>
          <w:p>
            <w:pPr>
              <w:wordWrap w:val="0"/>
              <w:jc w:val="right"/>
              <w:rPr>
                <w:rFonts w:ascii="黑体" w:hAnsi="黑体" w:eastAsia="黑体"/>
                <w:sz w:val="28"/>
                <w:szCs w:val="28"/>
              </w:rPr>
            </w:pPr>
            <w:r>
              <w:rPr>
                <w:rFonts w:hint="eastAsia" w:ascii="黑体" w:hAnsi="黑体" w:eastAsia="黑体"/>
                <w:sz w:val="28"/>
                <w:szCs w:val="28"/>
              </w:rPr>
              <w:t>合同编号：</w:t>
            </w:r>
            <w:r>
              <w:rPr>
                <w:rFonts w:hint="eastAsia" w:ascii="黑体" w:hAnsi="黑体" w:eastAsia="黑体"/>
                <w:sz w:val="28"/>
                <w:szCs w:val="28"/>
                <w:u w:val="single"/>
              </w:rPr>
              <w:t xml:space="preserve">                    </w:t>
            </w:r>
          </w:p>
          <w:p>
            <w:pPr>
              <w:rPr>
                <w:rFonts w:ascii="黑体" w:hAnsi="宋体" w:eastAsia="黑体"/>
                <w:sz w:val="48"/>
              </w:rPr>
            </w:pPr>
          </w:p>
          <w:p>
            <w:pPr>
              <w:jc w:val="center"/>
              <w:rPr>
                <w:rFonts w:hint="eastAsia" w:ascii="仿宋" w:hAnsi="仿宋" w:eastAsia="仿宋" w:cs="仿宋"/>
                <w:sz w:val="48"/>
                <w:szCs w:val="48"/>
              </w:rPr>
            </w:pPr>
            <w:r>
              <w:rPr>
                <w:rFonts w:hint="eastAsia" w:ascii="仿宋" w:hAnsi="仿宋" w:eastAsia="仿宋" w:cs="仿宋"/>
                <w:sz w:val="48"/>
                <w:szCs w:val="48"/>
              </w:rPr>
              <w:t>深 圳 市 建 设 工 程</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8"/>
                <w:szCs w:val="48"/>
              </w:rPr>
              <w:t>项目全过程工程咨询委托合同</w:t>
            </w:r>
          </w:p>
          <w:p>
            <w:pPr>
              <w:rPr>
                <w:rFonts w:hint="eastAsia" w:ascii="仿宋" w:hAnsi="仿宋" w:eastAsia="仿宋" w:cs="仿宋"/>
                <w:sz w:val="48"/>
                <w:szCs w:val="48"/>
              </w:rPr>
            </w:pPr>
          </w:p>
          <w:p>
            <w:pPr>
              <w:rPr>
                <w:rFonts w:ascii="楷体_GB2312" w:hAnsi="宋体" w:eastAsia="楷体_GB2312"/>
                <w:sz w:val="32"/>
                <w:szCs w:val="32"/>
              </w:rPr>
            </w:pPr>
          </w:p>
          <w:p>
            <w:pPr>
              <w:spacing w:line="720" w:lineRule="auto"/>
              <w:jc w:val="left"/>
              <w:rPr>
                <w:rFonts w:hint="eastAsia" w:ascii="仿宋" w:hAnsi="仿宋" w:eastAsia="仿宋" w:cs="仿宋"/>
                <w:spacing w:val="16"/>
                <w:sz w:val="30"/>
                <w:szCs w:val="30"/>
                <w:u w:val="single"/>
              </w:rPr>
            </w:pPr>
            <w:r>
              <w:rPr>
                <w:rFonts w:hint="eastAsia" w:ascii="仿宋" w:hAnsi="仿宋" w:eastAsia="仿宋" w:cs="仿宋"/>
                <w:b/>
                <w:spacing w:val="16"/>
                <w:sz w:val="30"/>
                <w:szCs w:val="30"/>
              </w:rPr>
              <w:t>工程名称：</w:t>
            </w:r>
            <w:r>
              <w:rPr>
                <w:rFonts w:hint="eastAsia" w:ascii="仿宋" w:hAnsi="仿宋" w:eastAsia="仿宋" w:cs="仿宋"/>
                <w:spacing w:val="16"/>
                <w:sz w:val="30"/>
                <w:szCs w:val="30"/>
                <w:u w:val="single"/>
                <w:lang w:eastAsia="zh-CN"/>
              </w:rPr>
              <w:t>图书馆二、三楼局部空间改造工程项目管理及监理服务</w:t>
            </w:r>
          </w:p>
          <w:p>
            <w:pPr>
              <w:spacing w:line="720" w:lineRule="auto"/>
              <w:rPr>
                <w:rFonts w:hint="eastAsia" w:ascii="仿宋" w:hAnsi="仿宋" w:eastAsia="仿宋" w:cs="仿宋"/>
                <w:spacing w:val="16"/>
                <w:sz w:val="30"/>
                <w:szCs w:val="30"/>
                <w:u w:val="single"/>
              </w:rPr>
            </w:pPr>
            <w:r>
              <w:rPr>
                <w:rFonts w:hint="eastAsia" w:ascii="仿宋" w:hAnsi="仿宋" w:eastAsia="仿宋" w:cs="仿宋"/>
                <w:b/>
                <w:spacing w:val="16"/>
                <w:sz w:val="30"/>
                <w:szCs w:val="30"/>
              </w:rPr>
              <w:t>工程地点：</w:t>
            </w:r>
            <w:r>
              <w:rPr>
                <w:rFonts w:hint="eastAsia" w:ascii="仿宋" w:hAnsi="仿宋" w:eastAsia="仿宋" w:cs="仿宋"/>
                <w:spacing w:val="16"/>
                <w:sz w:val="30"/>
                <w:szCs w:val="30"/>
                <w:u w:val="single"/>
                <w:lang w:eastAsia="zh-CN"/>
              </w:rPr>
              <w:t>深圳市南山区丽水路</w:t>
            </w:r>
            <w:r>
              <w:rPr>
                <w:rFonts w:hint="eastAsia" w:ascii="仿宋" w:hAnsi="仿宋" w:eastAsia="仿宋" w:cs="仿宋"/>
                <w:spacing w:val="16"/>
                <w:sz w:val="30"/>
                <w:szCs w:val="30"/>
                <w:u w:val="single"/>
                <w:lang w:val="en-US" w:eastAsia="zh-CN"/>
              </w:rPr>
              <w:t>2239号大学城图书馆内</w:t>
            </w:r>
            <w:r>
              <w:rPr>
                <w:rFonts w:hint="eastAsia" w:ascii="仿宋" w:hAnsi="仿宋" w:eastAsia="仿宋" w:cs="仿宋"/>
                <w:spacing w:val="16"/>
                <w:sz w:val="30"/>
                <w:szCs w:val="30"/>
                <w:u w:val="single"/>
                <w:lang w:eastAsia="zh-CN"/>
              </w:rPr>
              <w:t xml:space="preserve"> </w:t>
            </w:r>
          </w:p>
          <w:p>
            <w:pPr>
              <w:spacing w:line="720" w:lineRule="auto"/>
              <w:rPr>
                <w:rFonts w:hint="eastAsia" w:ascii="仿宋" w:hAnsi="仿宋" w:eastAsia="仿宋" w:cs="仿宋"/>
                <w:sz w:val="30"/>
                <w:szCs w:val="30"/>
                <w:u w:val="single"/>
              </w:rPr>
            </w:pPr>
            <w:r>
              <w:rPr>
                <w:rFonts w:hint="eastAsia" w:ascii="仿宋" w:hAnsi="仿宋" w:eastAsia="仿宋" w:cs="仿宋"/>
                <w:b/>
                <w:spacing w:val="16"/>
                <w:sz w:val="30"/>
                <w:szCs w:val="30"/>
              </w:rPr>
              <w:t>委 托 人：</w:t>
            </w:r>
            <w:r>
              <w:rPr>
                <w:rFonts w:hint="eastAsia" w:ascii="仿宋" w:hAnsi="仿宋" w:eastAsia="仿宋" w:cs="仿宋"/>
                <w:spacing w:val="16"/>
                <w:sz w:val="30"/>
                <w:szCs w:val="30"/>
                <w:u w:val="single"/>
                <w:lang w:val="en-US" w:eastAsia="zh-CN"/>
              </w:rPr>
              <w:t>深圳大学城图书馆</w:t>
            </w:r>
          </w:p>
          <w:p>
            <w:pPr>
              <w:spacing w:line="720" w:lineRule="auto"/>
              <w:rPr>
                <w:rFonts w:hint="eastAsia" w:ascii="仿宋" w:hAnsi="仿宋" w:eastAsia="仿宋" w:cs="仿宋"/>
                <w:sz w:val="30"/>
                <w:szCs w:val="30"/>
              </w:rPr>
            </w:pPr>
            <w:r>
              <w:rPr>
                <w:rFonts w:hint="eastAsia" w:ascii="仿宋" w:hAnsi="仿宋" w:eastAsia="仿宋" w:cs="仿宋"/>
                <w:b/>
                <w:spacing w:val="16"/>
                <w:sz w:val="30"/>
                <w:szCs w:val="30"/>
              </w:rPr>
              <w:t>咨 询 人：</w:t>
            </w:r>
            <w:r>
              <w:rPr>
                <w:rFonts w:hint="eastAsia" w:ascii="仿宋" w:hAnsi="仿宋" w:eastAsia="仿宋" w:cs="仿宋"/>
                <w:spacing w:val="16"/>
                <w:sz w:val="30"/>
                <w:szCs w:val="30"/>
                <w:u w:val="single"/>
                <w:lang w:val="en-US" w:eastAsia="zh-CN"/>
              </w:rPr>
              <w:t>周科</w:t>
            </w:r>
          </w:p>
          <w:p>
            <w:pPr>
              <w:jc w:val="center"/>
              <w:rPr>
                <w:rFonts w:ascii="黑体" w:hAnsi="黑体" w:eastAsia="黑体"/>
                <w:bCs/>
                <w:sz w:val="30"/>
              </w:rPr>
            </w:pPr>
          </w:p>
          <w:p>
            <w:pPr>
              <w:jc w:val="center"/>
              <w:rPr>
                <w:rFonts w:ascii="黑体" w:hAnsi="黑体" w:eastAsia="黑体"/>
                <w:bCs/>
                <w:sz w:val="30"/>
              </w:rPr>
            </w:pPr>
          </w:p>
          <w:p>
            <w:pPr>
              <w:jc w:val="center"/>
              <w:rPr>
                <w:rFonts w:ascii="黑体" w:hAnsi="黑体" w:eastAsia="黑体"/>
                <w:bCs/>
                <w:sz w:val="30"/>
              </w:rPr>
            </w:pPr>
          </w:p>
          <w:p>
            <w:pPr>
              <w:jc w:val="center"/>
              <w:rPr>
                <w:rFonts w:ascii="黑体" w:hAnsi="黑体" w:eastAsia="黑体"/>
                <w:bCs/>
                <w:sz w:val="30"/>
              </w:rPr>
            </w:pPr>
            <w:r>
              <w:rPr>
                <w:rFonts w:hint="eastAsia" w:ascii="黑体" w:hAnsi="黑体" w:eastAsia="黑体"/>
                <w:bCs/>
                <w:sz w:val="30"/>
              </w:rPr>
              <w:t>202</w:t>
            </w:r>
            <w:r>
              <w:rPr>
                <w:rFonts w:hint="eastAsia" w:ascii="黑体" w:hAnsi="黑体" w:eastAsia="黑体"/>
                <w:bCs/>
                <w:sz w:val="30"/>
                <w:lang w:val="en-US" w:eastAsia="zh-CN"/>
              </w:rPr>
              <w:t>4</w:t>
            </w:r>
            <w:r>
              <w:rPr>
                <w:rFonts w:hint="eastAsia" w:ascii="黑体" w:hAnsi="黑体" w:eastAsia="黑体"/>
                <w:bCs/>
                <w:sz w:val="30"/>
              </w:rPr>
              <w:t xml:space="preserve"> 年    月</w:t>
            </w:r>
          </w:p>
          <w:p>
            <w:pPr>
              <w:pStyle w:val="4"/>
              <w:tabs>
                <w:tab w:val="left" w:pos="2040"/>
              </w:tabs>
              <w:spacing w:before="156" w:beforeLines="50" w:after="156" w:afterLines="50" w:line="360" w:lineRule="auto"/>
              <w:jc w:val="center"/>
              <w:rPr>
                <w:rFonts w:hint="eastAsia"/>
                <w:sz w:val="44"/>
                <w:szCs w:val="44"/>
              </w:rPr>
            </w:pPr>
            <w:bookmarkStart w:id="1" w:name="_Toc24093"/>
          </w:p>
          <w:p>
            <w:pPr>
              <w:pStyle w:val="4"/>
              <w:tabs>
                <w:tab w:val="left" w:pos="2040"/>
              </w:tabs>
              <w:spacing w:before="156" w:beforeLines="50" w:after="156" w:afterLines="50" w:line="360" w:lineRule="auto"/>
              <w:jc w:val="center"/>
              <w:rPr>
                <w:sz w:val="44"/>
                <w:szCs w:val="44"/>
              </w:rPr>
            </w:pPr>
            <w:r>
              <w:rPr>
                <w:rFonts w:hint="eastAsia"/>
                <w:sz w:val="44"/>
                <w:szCs w:val="44"/>
              </w:rPr>
              <w:t>一、合同协议书</w:t>
            </w:r>
            <w:bookmarkEnd w:id="1"/>
          </w:p>
          <w:p>
            <w:pPr>
              <w:adjustRightInd w:val="0"/>
              <w:snapToGrid w:val="0"/>
              <w:spacing w:line="360" w:lineRule="auto"/>
              <w:ind w:firstLine="482" w:firstLineChars="200"/>
              <w:rPr>
                <w:rFonts w:ascii="仿宋_GB2312" w:hAnsi="宋体" w:eastAsia="仿宋_GB2312"/>
                <w:b/>
                <w:sz w:val="24"/>
              </w:rPr>
            </w:pPr>
            <w:r>
              <w:rPr>
                <w:rFonts w:hint="eastAsia" w:ascii="仿宋_GB2312" w:hAnsi="宋体" w:eastAsia="仿宋_GB2312"/>
                <w:b/>
                <w:sz w:val="24"/>
              </w:rPr>
              <w:t>委托人（全称）：</w:t>
            </w:r>
            <w:r>
              <w:rPr>
                <w:rFonts w:hint="eastAsia" w:ascii="仿宋_GB2312" w:hAnsi="宋体" w:eastAsia="仿宋_GB2312"/>
                <w:b/>
                <w:sz w:val="24"/>
                <w:u w:val="single"/>
              </w:rPr>
              <w:t>深圳大</w:t>
            </w:r>
            <w:r>
              <w:rPr>
                <w:rFonts w:hint="eastAsia" w:ascii="仿宋_GB2312" w:hAnsi="宋体" w:eastAsia="仿宋_GB2312"/>
                <w:b/>
                <w:sz w:val="24"/>
                <w:u w:val="single"/>
                <w:lang w:val="en-US" w:eastAsia="zh-CN"/>
              </w:rPr>
              <w:t>学城图书馆</w:t>
            </w:r>
            <w:r>
              <w:rPr>
                <w:rFonts w:hint="eastAsia" w:ascii="仿宋_GB2312" w:hAnsi="宋体" w:eastAsia="仿宋_GB2312"/>
                <w:b/>
                <w:sz w:val="24"/>
                <w:u w:val="single"/>
              </w:rPr>
              <w:t xml:space="preserve">              </w:t>
            </w:r>
          </w:p>
          <w:p>
            <w:pPr>
              <w:adjustRightInd w:val="0"/>
              <w:snapToGrid w:val="0"/>
              <w:spacing w:line="360" w:lineRule="auto"/>
              <w:ind w:firstLine="482" w:firstLineChars="200"/>
              <w:rPr>
                <w:rFonts w:ascii="仿宋_GB2312" w:hAnsi="宋体" w:eastAsia="仿宋_GB2312"/>
                <w:sz w:val="24"/>
                <w:u w:val="single"/>
              </w:rPr>
            </w:pPr>
            <w:r>
              <w:rPr>
                <w:rFonts w:hint="eastAsia" w:ascii="仿宋_GB2312" w:hAnsi="宋体" w:eastAsia="仿宋_GB2312"/>
                <w:b/>
                <w:sz w:val="24"/>
              </w:rPr>
              <w:t>全过程工程咨询单位（全称）：</w:t>
            </w:r>
            <w:r>
              <w:rPr>
                <w:rFonts w:hint="eastAsia" w:ascii="仿宋_GB2312" w:hAnsi="宋体" w:eastAsia="仿宋_GB2312"/>
                <w:b/>
                <w:sz w:val="24"/>
                <w:u w:val="single"/>
              </w:rPr>
              <w:t xml:space="preserve">                       </w:t>
            </w:r>
          </w:p>
          <w:p>
            <w:pPr>
              <w:adjustRightInd w:val="0"/>
              <w:snapToGrid w:val="0"/>
              <w:spacing w:line="360" w:lineRule="auto"/>
              <w:ind w:firstLine="480" w:firstLineChars="200"/>
              <w:rPr>
                <w:rFonts w:ascii="仿宋_GB2312" w:hAnsi="宋体" w:eastAsia="仿宋_GB2312"/>
                <w:sz w:val="24"/>
                <w:u w:val="single"/>
              </w:rPr>
            </w:pPr>
            <w:r>
              <w:rPr>
                <w:rFonts w:hint="eastAsia" w:ascii="仿宋_GB2312" w:hAnsi="宋体" w:eastAsia="仿宋_GB2312"/>
                <w:sz w:val="24"/>
              </w:rPr>
              <w:t>根据《中华人民共和国合同法》、《中华人民共和国建筑法》及其他有关法律、法规，遵循平等、自愿、公平和诚信的原则，双方就下述工程委托工程咨询与相关服务事项协商一致，订立本合同。</w:t>
            </w:r>
          </w:p>
          <w:p>
            <w:pPr>
              <w:adjustRightInd w:val="0"/>
              <w:snapToGrid w:val="0"/>
              <w:spacing w:line="360" w:lineRule="auto"/>
              <w:ind w:firstLine="477" w:firstLineChars="198"/>
              <w:outlineLvl w:val="0"/>
              <w:rPr>
                <w:rFonts w:ascii="仿宋_GB2312" w:hAnsi="宋体" w:eastAsia="仿宋_GB2312"/>
                <w:b/>
                <w:sz w:val="24"/>
              </w:rPr>
            </w:pPr>
            <w:bookmarkStart w:id="2" w:name="_Toc10808"/>
            <w:bookmarkStart w:id="3" w:name="_Toc468553682"/>
            <w:bookmarkStart w:id="4" w:name="_Toc24205"/>
            <w:bookmarkStart w:id="5" w:name="_Toc20373"/>
            <w:r>
              <w:rPr>
                <w:rFonts w:hint="eastAsia" w:ascii="仿宋_GB2312" w:hAnsi="宋体" w:eastAsia="仿宋_GB2312"/>
                <w:b/>
                <w:sz w:val="24"/>
              </w:rPr>
              <w:t>一、工程概况</w:t>
            </w:r>
            <w:bookmarkEnd w:id="2"/>
            <w:bookmarkEnd w:id="3"/>
            <w:bookmarkEnd w:id="4"/>
            <w:bookmarkEnd w:id="5"/>
          </w:p>
          <w:p>
            <w:pPr>
              <w:adjustRightInd w:val="0"/>
              <w:snapToGrid w:val="0"/>
              <w:spacing w:line="360" w:lineRule="auto"/>
              <w:ind w:firstLine="475" w:firstLineChars="198"/>
              <w:rPr>
                <w:rFonts w:hint="eastAsia" w:ascii="仿宋_GB2312" w:hAnsi="宋体" w:eastAsia="仿宋_GB2312"/>
                <w:sz w:val="24"/>
                <w:u w:val="single"/>
              </w:rPr>
            </w:pPr>
            <w:r>
              <w:rPr>
                <w:rFonts w:hint="eastAsia" w:ascii="仿宋_GB2312" w:hAnsi="宋体" w:eastAsia="仿宋_GB2312"/>
                <w:sz w:val="24"/>
              </w:rPr>
              <w:t>1. 工程名称：</w:t>
            </w:r>
            <w:r>
              <w:rPr>
                <w:rFonts w:hint="eastAsia" w:ascii="仿宋_GB2312" w:hAnsi="宋体" w:eastAsia="仿宋_GB2312"/>
                <w:sz w:val="24"/>
                <w:u w:val="single"/>
              </w:rPr>
              <w:t xml:space="preserve">             </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2. 工程地点：</w:t>
            </w:r>
            <w:r>
              <w:rPr>
                <w:rFonts w:hint="eastAsia" w:ascii="仿宋_GB2312" w:hAnsi="宋体" w:eastAsia="仿宋_GB2312"/>
                <w:b/>
                <w:sz w:val="24"/>
                <w:u w:val="single"/>
              </w:rPr>
              <w:t>深圳</w:t>
            </w:r>
            <w:r>
              <w:rPr>
                <w:rFonts w:hint="eastAsia" w:ascii="仿宋_GB2312" w:hAnsi="宋体" w:eastAsia="仿宋_GB2312"/>
                <w:b/>
                <w:sz w:val="24"/>
                <w:u w:val="single"/>
                <w:lang w:val="en-US" w:eastAsia="zh-CN"/>
              </w:rPr>
              <w:t>大学城图书馆</w:t>
            </w:r>
            <w:r>
              <w:rPr>
                <w:rFonts w:hint="eastAsia" w:ascii="仿宋_GB2312" w:hAnsi="宋体" w:eastAsia="仿宋_GB2312"/>
                <w:b/>
                <w:sz w:val="24"/>
                <w:u w:val="single"/>
              </w:rPr>
              <w:t>内</w:t>
            </w:r>
            <w:r>
              <w:rPr>
                <w:rFonts w:hint="eastAsia" w:ascii="仿宋_GB2312" w:hAnsi="宋体" w:eastAsia="仿宋_GB2312"/>
                <w:sz w:val="24"/>
              </w:rPr>
              <w:t>；</w:t>
            </w:r>
          </w:p>
          <w:p>
            <w:pPr>
              <w:spacing w:line="360" w:lineRule="auto"/>
              <w:ind w:firstLine="480" w:firstLineChars="200"/>
              <w:rPr>
                <w:rFonts w:hint="eastAsia" w:ascii="宋体" w:hAnsi="宋体"/>
                <w:szCs w:val="21"/>
              </w:rPr>
            </w:pPr>
            <w:r>
              <w:rPr>
                <w:rFonts w:hint="eastAsia" w:ascii="仿宋_GB2312" w:hAnsi="宋体" w:eastAsia="仿宋_GB2312"/>
                <w:sz w:val="24"/>
              </w:rPr>
              <w:t>3. 工程规模：</w:t>
            </w:r>
          </w:p>
          <w:p>
            <w:pPr>
              <w:adjustRightInd w:val="0"/>
              <w:snapToGrid w:val="0"/>
              <w:spacing w:line="360" w:lineRule="auto"/>
              <w:ind w:firstLine="475" w:firstLineChars="198"/>
              <w:jc w:val="left"/>
              <w:rPr>
                <w:rFonts w:hint="eastAsia" w:ascii="仿宋_GB2312" w:hAnsi="宋体" w:eastAsia="仿宋_GB2312"/>
                <w:sz w:val="24"/>
              </w:rPr>
            </w:pPr>
            <w:r>
              <w:rPr>
                <w:rFonts w:hint="eastAsia" w:ascii="仿宋_GB2312" w:hAnsi="宋体" w:eastAsia="仿宋_GB2312"/>
                <w:sz w:val="24"/>
              </w:rPr>
              <w:t>4. 工程</w:t>
            </w:r>
            <w:r>
              <w:rPr>
                <w:rFonts w:hint="eastAsia" w:ascii="仿宋_GB2312" w:hAnsi="宋体" w:eastAsia="仿宋_GB2312"/>
                <w:kern w:val="0"/>
                <w:sz w:val="24"/>
              </w:rPr>
              <w:t>概算投资</w:t>
            </w:r>
            <w:r>
              <w:rPr>
                <w:rFonts w:hint="eastAsia" w:ascii="仿宋_GB2312" w:hAnsi="宋体" w:eastAsia="仿宋_GB2312" w:cs="宋体"/>
                <w:kern w:val="0"/>
                <w:sz w:val="24"/>
              </w:rPr>
              <w:t>额或建筑安装工程费</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万元。</w:t>
            </w:r>
          </w:p>
          <w:p>
            <w:pPr>
              <w:adjustRightInd w:val="0"/>
              <w:snapToGrid w:val="0"/>
              <w:spacing w:line="360" w:lineRule="auto"/>
              <w:ind w:firstLine="477" w:firstLineChars="198"/>
              <w:outlineLvl w:val="0"/>
              <w:rPr>
                <w:rFonts w:ascii="仿宋_GB2312" w:hAnsi="宋体" w:eastAsia="仿宋_GB2312"/>
                <w:b/>
                <w:sz w:val="24"/>
              </w:rPr>
            </w:pPr>
            <w:bookmarkStart w:id="6" w:name="_Toc28817"/>
            <w:bookmarkStart w:id="7" w:name="_Toc468553683"/>
            <w:r>
              <w:rPr>
                <w:rFonts w:hint="eastAsia" w:ascii="仿宋_GB2312" w:hAnsi="宋体" w:eastAsia="仿宋_GB2312"/>
                <w:b/>
                <w:sz w:val="24"/>
              </w:rPr>
              <w:t>二、词语限定</w:t>
            </w:r>
            <w:bookmarkEnd w:id="6"/>
            <w:bookmarkEnd w:id="7"/>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协议书中相关词语的含义与通用条件中的定义与解释相同。</w:t>
            </w:r>
          </w:p>
          <w:p>
            <w:pPr>
              <w:adjustRightInd w:val="0"/>
              <w:snapToGrid w:val="0"/>
              <w:spacing w:line="360" w:lineRule="auto"/>
              <w:ind w:firstLine="477" w:firstLineChars="198"/>
              <w:outlineLvl w:val="0"/>
              <w:rPr>
                <w:rFonts w:ascii="仿宋_GB2312" w:hAnsi="宋体" w:eastAsia="仿宋_GB2312"/>
                <w:b/>
                <w:sz w:val="24"/>
              </w:rPr>
            </w:pPr>
            <w:bookmarkStart w:id="8" w:name="_Toc570"/>
            <w:bookmarkStart w:id="9" w:name="_Toc24420"/>
            <w:bookmarkStart w:id="10" w:name="_Toc468553684"/>
            <w:bookmarkStart w:id="11" w:name="_Toc13868"/>
            <w:r>
              <w:rPr>
                <w:rFonts w:hint="eastAsia" w:ascii="仿宋_GB2312" w:hAnsi="宋体" w:eastAsia="仿宋_GB2312"/>
                <w:b/>
                <w:sz w:val="24"/>
              </w:rPr>
              <w:t>三、组成本合同的文件</w:t>
            </w:r>
            <w:bookmarkEnd w:id="8"/>
            <w:bookmarkEnd w:id="9"/>
            <w:bookmarkEnd w:id="10"/>
            <w:bookmarkEnd w:id="11"/>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1. 合同协议书；</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2. 中标通知书；</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3. 投标文件及其附件；</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4. 招标文件及补遗；</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6. 合同条件；</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7. 双方有关项目全过程工程咨询的洽商、变更等书面协议或文件；</w:t>
            </w:r>
          </w:p>
          <w:p>
            <w:pPr>
              <w:adjustRightInd w:val="0"/>
              <w:snapToGrid w:val="0"/>
              <w:spacing w:line="360" w:lineRule="auto"/>
              <w:ind w:firstLine="475" w:firstLineChars="198"/>
              <w:rPr>
                <w:rFonts w:ascii="仿宋_GB2312" w:hAnsi="宋体" w:eastAsia="仿宋_GB2312"/>
                <w:sz w:val="24"/>
              </w:rPr>
            </w:pPr>
            <w:r>
              <w:rPr>
                <w:rFonts w:hint="eastAsia" w:ascii="仿宋_GB2312" w:hAnsi="宋体" w:eastAsia="仿宋_GB2312"/>
                <w:sz w:val="24"/>
              </w:rPr>
              <w:t>8. 标准、规范及有关技术文件。</w:t>
            </w:r>
          </w:p>
          <w:p>
            <w:pPr>
              <w:adjustRightInd w:val="0"/>
              <w:snapToGrid w:val="0"/>
              <w:spacing w:line="360" w:lineRule="auto"/>
              <w:ind w:firstLine="477" w:firstLineChars="198"/>
              <w:outlineLvl w:val="0"/>
              <w:rPr>
                <w:rFonts w:ascii="仿宋_GB2312" w:hAnsi="宋体" w:eastAsia="仿宋_GB2312"/>
                <w:b/>
                <w:sz w:val="24"/>
              </w:rPr>
            </w:pPr>
            <w:bookmarkStart w:id="12" w:name="_Toc8358"/>
            <w:bookmarkStart w:id="13" w:name="_Toc18380"/>
            <w:bookmarkStart w:id="14" w:name="_Toc468553685"/>
            <w:bookmarkStart w:id="15" w:name="_Toc10617"/>
            <w:r>
              <w:rPr>
                <w:rFonts w:hint="eastAsia" w:ascii="仿宋_GB2312" w:hAnsi="宋体" w:eastAsia="仿宋_GB2312"/>
                <w:b/>
                <w:sz w:val="24"/>
              </w:rPr>
              <w:t>四、项目主要负责人</w:t>
            </w:r>
            <w:bookmarkEnd w:id="12"/>
            <w:bookmarkEnd w:id="13"/>
            <w:bookmarkEnd w:id="14"/>
            <w:bookmarkEnd w:id="15"/>
          </w:p>
          <w:p>
            <w:pPr>
              <w:adjustRightInd w:val="0"/>
              <w:snapToGrid w:val="0"/>
              <w:spacing w:line="360" w:lineRule="auto"/>
              <w:ind w:firstLine="475" w:firstLineChars="198"/>
              <w:rPr>
                <w:rFonts w:ascii="仿宋_GB2312" w:hAnsi="宋体" w:eastAsia="仿宋_GB2312"/>
                <w:kern w:val="0"/>
                <w:sz w:val="24"/>
              </w:rPr>
            </w:pPr>
            <w:r>
              <w:rPr>
                <w:rFonts w:hint="eastAsia" w:ascii="仿宋_GB2312" w:hAnsi="宋体" w:eastAsia="仿宋_GB2312" w:cs="宋体"/>
                <w:sz w:val="24"/>
              </w:rPr>
              <w:t xml:space="preserve">项目总负责人        </w:t>
            </w:r>
            <w:r>
              <w:rPr>
                <w:rFonts w:hint="eastAsia" w:ascii="仿宋_GB2312" w:hAnsi="宋体" w:eastAsia="仿宋_GB2312"/>
                <w:kern w:val="0"/>
                <w:sz w:val="24"/>
              </w:rPr>
              <w:t>姓名：</w:t>
            </w:r>
            <w:r>
              <w:rPr>
                <w:rFonts w:hint="eastAsia" w:ascii="仿宋_GB2312" w:hAnsi="宋体" w:eastAsia="仿宋_GB2312"/>
                <w:b/>
                <w:sz w:val="24"/>
                <w:u w:val="single"/>
              </w:rPr>
              <w:t xml:space="preserve">        </w:t>
            </w:r>
            <w:r>
              <w:rPr>
                <w:rFonts w:hint="eastAsia" w:ascii="仿宋_GB2312" w:hAnsi="宋体" w:eastAsia="仿宋_GB2312"/>
                <w:kern w:val="0"/>
                <w:sz w:val="24"/>
              </w:rPr>
              <w:t>，身份证号码：</w:t>
            </w:r>
            <w:r>
              <w:rPr>
                <w:rFonts w:hint="eastAsia" w:ascii="仿宋_GB2312" w:hAnsi="宋体" w:eastAsia="仿宋_GB2312"/>
                <w:b/>
                <w:sz w:val="24"/>
                <w:u w:val="single"/>
              </w:rPr>
              <w:t xml:space="preserve">              </w:t>
            </w:r>
            <w:r>
              <w:rPr>
                <w:rFonts w:hint="eastAsia" w:ascii="仿宋_GB2312" w:hAnsi="宋体" w:eastAsia="仿宋_GB2312"/>
                <w:kern w:val="0"/>
                <w:sz w:val="24"/>
              </w:rPr>
              <w:t>；</w:t>
            </w:r>
          </w:p>
          <w:p>
            <w:pPr>
              <w:adjustRightInd w:val="0"/>
              <w:snapToGrid w:val="0"/>
              <w:spacing w:line="360" w:lineRule="auto"/>
              <w:ind w:firstLine="475" w:firstLineChars="198"/>
              <w:rPr>
                <w:rFonts w:ascii="仿宋_GB2312" w:hAnsi="宋体" w:eastAsia="仿宋_GB2312"/>
                <w:kern w:val="0"/>
                <w:sz w:val="24"/>
              </w:rPr>
            </w:pPr>
            <w:r>
              <w:rPr>
                <w:rFonts w:hint="eastAsia" w:ascii="仿宋_GB2312" w:hAnsi="宋体" w:eastAsia="仿宋_GB2312"/>
                <w:kern w:val="0"/>
                <w:sz w:val="24"/>
              </w:rPr>
              <w:t>设计管理负责人      姓名：</w:t>
            </w:r>
            <w:r>
              <w:rPr>
                <w:rFonts w:hint="eastAsia" w:ascii="仿宋_GB2312" w:hAnsi="宋体" w:eastAsia="仿宋_GB2312"/>
                <w:b/>
                <w:sz w:val="24"/>
                <w:u w:val="single"/>
              </w:rPr>
              <w:t xml:space="preserve">        </w:t>
            </w:r>
            <w:r>
              <w:rPr>
                <w:rFonts w:hint="eastAsia" w:ascii="仿宋_GB2312" w:hAnsi="宋体" w:eastAsia="仿宋_GB2312"/>
                <w:kern w:val="0"/>
                <w:sz w:val="24"/>
              </w:rPr>
              <w:t>，身份证号码：</w:t>
            </w:r>
            <w:r>
              <w:rPr>
                <w:rFonts w:hint="eastAsia" w:ascii="仿宋_GB2312" w:hAnsi="宋体" w:eastAsia="仿宋_GB2312"/>
                <w:b/>
                <w:sz w:val="24"/>
                <w:u w:val="single"/>
              </w:rPr>
              <w:t xml:space="preserve">              </w:t>
            </w:r>
            <w:r>
              <w:rPr>
                <w:rFonts w:hint="eastAsia" w:ascii="仿宋_GB2312" w:hAnsi="宋体" w:eastAsia="仿宋_GB2312"/>
                <w:kern w:val="0"/>
                <w:sz w:val="24"/>
              </w:rPr>
              <w:t>；</w:t>
            </w:r>
          </w:p>
          <w:p>
            <w:pPr>
              <w:adjustRightInd w:val="0"/>
              <w:snapToGrid w:val="0"/>
              <w:spacing w:line="360" w:lineRule="auto"/>
              <w:ind w:firstLine="475" w:firstLineChars="198"/>
              <w:rPr>
                <w:rFonts w:ascii="仿宋_GB2312" w:hAnsi="宋体" w:eastAsia="仿宋_GB2312"/>
                <w:kern w:val="0"/>
                <w:sz w:val="24"/>
              </w:rPr>
            </w:pPr>
            <w:r>
              <w:rPr>
                <w:rFonts w:hint="eastAsia" w:ascii="仿宋_GB2312" w:hAnsi="宋体" w:eastAsia="仿宋_GB2312"/>
                <w:kern w:val="0"/>
                <w:sz w:val="24"/>
              </w:rPr>
              <w:t>总监理工程师        姓名：</w:t>
            </w:r>
            <w:r>
              <w:rPr>
                <w:rFonts w:hint="eastAsia" w:ascii="仿宋_GB2312" w:hAnsi="宋体" w:eastAsia="仿宋_GB2312"/>
                <w:b/>
                <w:sz w:val="24"/>
                <w:u w:val="single"/>
              </w:rPr>
              <w:t xml:space="preserve">         </w:t>
            </w:r>
            <w:r>
              <w:rPr>
                <w:rFonts w:hint="eastAsia" w:ascii="仿宋_GB2312" w:hAnsi="宋体" w:eastAsia="仿宋_GB2312"/>
                <w:kern w:val="0"/>
                <w:sz w:val="24"/>
              </w:rPr>
              <w:t>，身份证号码：</w:t>
            </w:r>
            <w:r>
              <w:rPr>
                <w:rFonts w:hint="eastAsia" w:ascii="仿宋_GB2312" w:hAnsi="宋体" w:eastAsia="仿宋_GB2312"/>
                <w:b/>
                <w:sz w:val="24"/>
                <w:u w:val="single"/>
              </w:rPr>
              <w:t xml:space="preserve">              </w:t>
            </w:r>
            <w:r>
              <w:rPr>
                <w:rFonts w:hint="eastAsia" w:ascii="仿宋_GB2312" w:hAnsi="宋体" w:eastAsia="仿宋_GB2312"/>
                <w:kern w:val="0"/>
                <w:sz w:val="24"/>
              </w:rPr>
              <w:t>；</w:t>
            </w:r>
          </w:p>
          <w:p>
            <w:pPr>
              <w:adjustRightInd w:val="0"/>
              <w:snapToGrid w:val="0"/>
              <w:spacing w:line="360" w:lineRule="auto"/>
              <w:ind w:firstLine="475" w:firstLineChars="198"/>
              <w:rPr>
                <w:rFonts w:ascii="仿宋_GB2312" w:hAnsi="宋体" w:eastAsia="仿宋_GB2312"/>
                <w:kern w:val="0"/>
                <w:sz w:val="24"/>
              </w:rPr>
            </w:pPr>
            <w:r>
              <w:rPr>
                <w:rFonts w:hint="eastAsia" w:ascii="仿宋_GB2312" w:hAnsi="宋体" w:eastAsia="仿宋_GB2312"/>
                <w:kern w:val="0"/>
                <w:sz w:val="24"/>
              </w:rPr>
              <w:t>造价咨询管理负责人  姓名：</w:t>
            </w:r>
            <w:r>
              <w:rPr>
                <w:rFonts w:hint="eastAsia" w:ascii="仿宋_GB2312" w:hAnsi="宋体" w:eastAsia="仿宋_GB2312"/>
                <w:b/>
                <w:sz w:val="24"/>
                <w:u w:val="single"/>
              </w:rPr>
              <w:t xml:space="preserve">         </w:t>
            </w:r>
            <w:r>
              <w:rPr>
                <w:rFonts w:hint="eastAsia" w:ascii="仿宋_GB2312" w:hAnsi="宋体" w:eastAsia="仿宋_GB2312"/>
                <w:kern w:val="0"/>
                <w:sz w:val="24"/>
              </w:rPr>
              <w:t>，身份证号码：</w:t>
            </w:r>
            <w:r>
              <w:rPr>
                <w:rFonts w:hint="eastAsia" w:ascii="仿宋_GB2312" w:hAnsi="宋体" w:eastAsia="仿宋_GB2312"/>
                <w:b/>
                <w:sz w:val="24"/>
                <w:u w:val="single"/>
              </w:rPr>
              <w:t xml:space="preserve">              </w:t>
            </w:r>
            <w:r>
              <w:rPr>
                <w:rFonts w:hint="eastAsia" w:ascii="仿宋_GB2312" w:hAnsi="宋体" w:eastAsia="仿宋_GB2312"/>
                <w:kern w:val="0"/>
                <w:sz w:val="24"/>
              </w:rPr>
              <w:t xml:space="preserve">； </w:t>
            </w:r>
          </w:p>
          <w:p>
            <w:pPr>
              <w:adjustRightInd w:val="0"/>
              <w:snapToGrid w:val="0"/>
              <w:spacing w:line="360" w:lineRule="auto"/>
              <w:ind w:firstLine="482" w:firstLineChars="200"/>
              <w:outlineLvl w:val="0"/>
              <w:rPr>
                <w:rFonts w:ascii="仿宋_GB2312" w:hAnsi="宋体" w:eastAsia="仿宋_GB2312"/>
                <w:b/>
                <w:sz w:val="24"/>
              </w:rPr>
            </w:pPr>
            <w:bookmarkStart w:id="16" w:name="_Toc5611"/>
            <w:bookmarkStart w:id="17" w:name="_Toc468553686"/>
            <w:bookmarkStart w:id="18" w:name="_Toc12639"/>
            <w:bookmarkStart w:id="19" w:name="_Toc15385"/>
            <w:r>
              <w:rPr>
                <w:rFonts w:hint="eastAsia" w:ascii="仿宋_GB2312" w:hAnsi="宋体" w:eastAsia="仿宋_GB2312"/>
                <w:b/>
                <w:sz w:val="24"/>
              </w:rPr>
              <w:t>五、</w:t>
            </w:r>
            <w:bookmarkEnd w:id="16"/>
            <w:bookmarkEnd w:id="17"/>
            <w:bookmarkEnd w:id="18"/>
            <w:bookmarkEnd w:id="19"/>
            <w:r>
              <w:rPr>
                <w:rFonts w:hint="eastAsia" w:ascii="仿宋_GB2312" w:hAnsi="宋体" w:eastAsia="仿宋_GB2312"/>
                <w:b/>
                <w:sz w:val="24"/>
              </w:rPr>
              <w:t>合同费用及支付</w:t>
            </w:r>
          </w:p>
          <w:p>
            <w:pPr>
              <w:spacing w:before="62" w:beforeLines="20" w:after="62" w:afterLines="20"/>
              <w:ind w:firstLine="480" w:firstLineChars="200"/>
              <w:jc w:val="left"/>
              <w:rPr>
                <w:rFonts w:hint="eastAsia" w:ascii="仿宋_GB2312" w:hAnsi="宋体" w:eastAsia="仿宋_GB2312"/>
                <w:b/>
                <w:sz w:val="24"/>
                <w:u w:val="single"/>
              </w:rPr>
            </w:pPr>
            <w:r>
              <w:rPr>
                <w:rFonts w:hint="eastAsia" w:ascii="仿宋_GB2312" w:hAnsi="宋体" w:eastAsia="仿宋_GB2312"/>
                <w:sz w:val="24"/>
              </w:rPr>
              <w:t>1.合同价为人民币（大写）：</w:t>
            </w:r>
            <w:r>
              <w:rPr>
                <w:rFonts w:hint="eastAsia" w:ascii="仿宋_GB2312" w:hAnsi="宋体" w:eastAsia="仿宋_GB2312"/>
                <w:b/>
                <w:sz w:val="24"/>
                <w:u w:val="single"/>
              </w:rPr>
              <w:t xml:space="preserve">          （小写：¥       万元）</w:t>
            </w:r>
          </w:p>
          <w:p>
            <w:pPr>
              <w:spacing w:before="62" w:beforeLines="20" w:after="62" w:afterLines="20"/>
              <w:ind w:firstLine="480" w:firstLineChars="200"/>
              <w:jc w:val="left"/>
              <w:rPr>
                <w:rFonts w:ascii="仿宋_GB2312" w:hAnsi="宋体" w:eastAsia="仿宋_GB2312"/>
                <w:sz w:val="24"/>
              </w:rPr>
            </w:pPr>
            <w:bookmarkStart w:id="20" w:name="_Toc468553687"/>
            <w:bookmarkStart w:id="21" w:name="_Toc2036"/>
            <w:bookmarkStart w:id="22" w:name="_Toc28048"/>
            <w:bookmarkStart w:id="23" w:name="_Toc14578"/>
            <w:r>
              <w:rPr>
                <w:rFonts w:hint="eastAsia" w:ascii="仿宋_GB2312" w:hAnsi="宋体" w:eastAsia="仿宋_GB2312"/>
                <w:sz w:val="24"/>
              </w:rPr>
              <w:t>2.费用支付，按项目节点分阶段支付。</w:t>
            </w:r>
          </w:p>
          <w:p>
            <w:pPr>
              <w:jc w:val="left"/>
            </w:pPr>
            <w:r>
              <w:rPr>
                <w:rFonts w:hint="eastAsia" w:ascii="仿宋_GB2312" w:hAnsi="宋体" w:eastAsia="仿宋_GB2312"/>
                <w:sz w:val="24"/>
              </w:rPr>
              <w:t>（1）咨询合同签订后，完成项目施工</w:t>
            </w:r>
            <w:r>
              <w:rPr>
                <w:rFonts w:hint="eastAsia" w:ascii="仿宋_GB2312" w:hAnsi="宋体" w:eastAsia="仿宋_GB2312"/>
                <w:sz w:val="24"/>
                <w:lang w:val="en-US" w:eastAsia="zh-CN"/>
              </w:rPr>
              <w:t>管理</w:t>
            </w:r>
            <w:r>
              <w:rPr>
                <w:rFonts w:hint="eastAsia" w:ascii="仿宋_GB2312" w:hAnsi="宋体" w:eastAsia="仿宋_GB2312"/>
                <w:sz w:val="24"/>
              </w:rPr>
              <w:t xml:space="preserve">、监理人员进场、签发施工开工令后，支付合同价的 </w:t>
            </w:r>
            <w:r>
              <w:rPr>
                <w:rFonts w:hint="eastAsia" w:ascii="仿宋_GB2312" w:hAnsi="宋体" w:eastAsia="仿宋_GB2312"/>
                <w:sz w:val="24"/>
                <w:lang w:val="en-US" w:eastAsia="zh-CN"/>
              </w:rPr>
              <w:t>5</w:t>
            </w:r>
            <w:r>
              <w:rPr>
                <w:rFonts w:hint="eastAsia" w:ascii="仿宋_GB2312" w:hAnsi="宋体" w:eastAsia="仿宋_GB2312"/>
                <w:sz w:val="24"/>
              </w:rPr>
              <w:t>0 %。</w:t>
            </w:r>
          </w:p>
          <w:p>
            <w:pPr>
              <w:spacing w:before="62" w:beforeLines="20" w:after="62" w:afterLines="20"/>
              <w:jc w:val="left"/>
              <w:rPr>
                <w:rFonts w:ascii="仿宋_GB2312" w:hAnsi="宋体" w:eastAsia="仿宋_GB2312"/>
                <w:b/>
                <w:sz w:val="24"/>
              </w:rPr>
            </w:pPr>
            <w:r>
              <w:rPr>
                <w:rFonts w:hint="eastAsia" w:ascii="仿宋_GB2312" w:hAnsi="宋体" w:eastAsia="仿宋_GB2312"/>
                <w:sz w:val="24"/>
              </w:rPr>
              <w:t>（</w:t>
            </w:r>
            <w:r>
              <w:rPr>
                <w:rFonts w:hint="eastAsia" w:ascii="仿宋_GB2312" w:hAnsi="宋体" w:eastAsia="仿宋_GB2312"/>
                <w:sz w:val="24"/>
                <w:lang w:val="en-US" w:eastAsia="zh-CN"/>
              </w:rPr>
              <w:t>2</w:t>
            </w:r>
            <w:r>
              <w:rPr>
                <w:rFonts w:hint="eastAsia" w:ascii="仿宋_GB2312" w:hAnsi="宋体" w:eastAsia="仿宋_GB2312"/>
                <w:sz w:val="24"/>
              </w:rPr>
              <w:t>）招标人拟需进行的全过程工程咨询服务项目全部竣工验收完或所在工程经办人签字确认后，招标人支付至咨询服务费结算价的100%。</w:t>
            </w:r>
          </w:p>
          <w:p>
            <w:pPr>
              <w:adjustRightInd w:val="0"/>
              <w:snapToGrid w:val="0"/>
              <w:spacing w:line="360" w:lineRule="auto"/>
              <w:ind w:firstLine="482" w:firstLineChars="200"/>
              <w:outlineLvl w:val="0"/>
              <w:rPr>
                <w:rFonts w:ascii="仿宋_GB2312" w:hAnsi="宋体" w:eastAsia="仿宋_GB2312"/>
                <w:b/>
                <w:sz w:val="24"/>
              </w:rPr>
            </w:pPr>
            <w:r>
              <w:rPr>
                <w:rFonts w:hint="eastAsia" w:ascii="仿宋_GB2312" w:hAnsi="宋体" w:eastAsia="仿宋_GB2312"/>
                <w:b/>
                <w:sz w:val="24"/>
              </w:rPr>
              <w:t>六、服务期</w:t>
            </w:r>
            <w:bookmarkEnd w:id="20"/>
            <w:bookmarkEnd w:id="21"/>
            <w:bookmarkEnd w:id="22"/>
            <w:bookmarkEnd w:id="23"/>
          </w:p>
          <w:p>
            <w:pPr>
              <w:adjustRightInd w:val="0"/>
              <w:snapToGrid w:val="0"/>
              <w:spacing w:line="360" w:lineRule="auto"/>
              <w:ind w:firstLine="720" w:firstLineChars="300"/>
              <w:outlineLvl w:val="0"/>
              <w:rPr>
                <w:rFonts w:hint="eastAsia" w:ascii="仿宋_GB2312" w:hAnsi="宋体" w:eastAsia="仿宋_GB2312"/>
                <w:sz w:val="24"/>
              </w:rPr>
            </w:pPr>
            <w:r>
              <w:rPr>
                <w:rFonts w:hint="eastAsia" w:ascii="仿宋_GB2312" w:hAnsi="宋体" w:eastAsia="仿宋_GB2312"/>
                <w:sz w:val="24"/>
              </w:rPr>
              <w:t>全过程工程咨询服务期：为招标人发出中标通知书之日起至项目保修期满为止（保修期为项目通过验收后24个月）。</w:t>
            </w:r>
          </w:p>
          <w:p>
            <w:pPr>
              <w:adjustRightInd w:val="0"/>
              <w:snapToGrid w:val="0"/>
              <w:spacing w:line="360" w:lineRule="auto"/>
              <w:ind w:firstLine="477" w:firstLineChars="198"/>
              <w:outlineLvl w:val="0"/>
              <w:rPr>
                <w:rFonts w:ascii="仿宋_GB2312" w:hAnsi="宋体" w:eastAsia="仿宋_GB2312"/>
                <w:b/>
                <w:sz w:val="24"/>
              </w:rPr>
            </w:pPr>
            <w:bookmarkStart w:id="24" w:name="_Toc3105"/>
            <w:bookmarkStart w:id="25" w:name="_Toc2443"/>
            <w:bookmarkStart w:id="26" w:name="_Toc15597"/>
            <w:bookmarkStart w:id="27" w:name="_Toc468553689"/>
            <w:r>
              <w:rPr>
                <w:rFonts w:hint="eastAsia" w:ascii="仿宋_GB2312" w:hAnsi="宋体" w:eastAsia="仿宋_GB2312"/>
                <w:b/>
                <w:sz w:val="24"/>
              </w:rPr>
              <w:t>七、双方承诺</w:t>
            </w:r>
            <w:bookmarkEnd w:id="24"/>
            <w:bookmarkEnd w:id="25"/>
            <w:bookmarkEnd w:id="26"/>
            <w:bookmarkEnd w:id="27"/>
          </w:p>
          <w:p>
            <w:pPr>
              <w:adjustRightInd w:val="0"/>
              <w:snapToGrid w:val="0"/>
              <w:spacing w:line="360" w:lineRule="auto"/>
              <w:ind w:firstLine="480" w:firstLineChars="200"/>
              <w:outlineLvl w:val="0"/>
              <w:rPr>
                <w:rFonts w:ascii="仿宋_GB2312" w:hAnsi="宋体" w:eastAsia="仿宋_GB2312"/>
                <w:b/>
                <w:sz w:val="24"/>
              </w:rPr>
            </w:pPr>
            <w:bookmarkStart w:id="28" w:name="_Toc9757"/>
            <w:bookmarkStart w:id="29" w:name="_Toc468553690"/>
            <w:bookmarkStart w:id="30" w:name="_Toc7403"/>
            <w:bookmarkStart w:id="31" w:name="_Toc21340"/>
            <w:bookmarkStart w:id="32" w:name="_Toc1695"/>
            <w:r>
              <w:rPr>
                <w:rFonts w:hint="eastAsia" w:ascii="仿宋_GB2312" w:hAnsi="宋体" w:eastAsia="仿宋_GB2312"/>
                <w:sz w:val="24"/>
              </w:rPr>
              <w:t>1. 工程咨询单位向委托人承诺，按照本合同约定</w:t>
            </w:r>
            <w:r>
              <w:rPr>
                <w:rFonts w:hint="eastAsia" w:ascii="仿宋_GB2312" w:hAnsi="宋体" w:eastAsia="仿宋_GB2312"/>
                <w:kern w:val="0"/>
                <w:sz w:val="24"/>
              </w:rPr>
              <w:t>提供</w:t>
            </w:r>
            <w:r>
              <w:rPr>
                <w:rFonts w:hint="eastAsia" w:ascii="仿宋_GB2312" w:hAnsi="宋体" w:eastAsia="仿宋_GB2312"/>
                <w:sz w:val="24"/>
              </w:rPr>
              <w:t>工程咨询与相关服务。</w:t>
            </w:r>
            <w:bookmarkEnd w:id="28"/>
            <w:bookmarkEnd w:id="29"/>
            <w:bookmarkEnd w:id="30"/>
            <w:bookmarkEnd w:id="31"/>
            <w:bookmarkEnd w:id="32"/>
          </w:p>
          <w:p>
            <w:pPr>
              <w:adjustRightInd w:val="0"/>
              <w:snapToGrid w:val="0"/>
              <w:spacing w:line="360" w:lineRule="auto"/>
              <w:ind w:firstLine="480" w:firstLineChars="200"/>
              <w:outlineLvl w:val="0"/>
              <w:rPr>
                <w:rFonts w:ascii="仿宋_GB2312" w:hAnsi="宋体" w:eastAsia="仿宋_GB2312"/>
                <w:sz w:val="24"/>
              </w:rPr>
            </w:pPr>
            <w:bookmarkStart w:id="33" w:name="_Toc468553691"/>
            <w:bookmarkStart w:id="34" w:name="_Toc13817"/>
            <w:bookmarkStart w:id="35" w:name="_Toc21670"/>
            <w:bookmarkStart w:id="36" w:name="_Toc32735"/>
            <w:bookmarkStart w:id="37" w:name="_Toc29071"/>
            <w:r>
              <w:rPr>
                <w:rFonts w:hint="eastAsia" w:ascii="仿宋_GB2312" w:hAnsi="宋体" w:eastAsia="仿宋_GB2312"/>
                <w:sz w:val="24"/>
              </w:rPr>
              <w:t>2. 委托人向工程咨询单位承诺，按照本合同约定提供相关管理资料并支付费用。</w:t>
            </w:r>
            <w:bookmarkEnd w:id="33"/>
            <w:bookmarkEnd w:id="34"/>
            <w:bookmarkEnd w:id="35"/>
            <w:bookmarkEnd w:id="36"/>
            <w:bookmarkEnd w:id="37"/>
          </w:p>
          <w:p>
            <w:pPr>
              <w:adjustRightInd w:val="0"/>
              <w:snapToGrid w:val="0"/>
              <w:spacing w:line="360" w:lineRule="auto"/>
              <w:ind w:firstLine="477" w:firstLineChars="198"/>
              <w:outlineLvl w:val="0"/>
              <w:rPr>
                <w:rFonts w:ascii="仿宋_GB2312" w:hAnsi="宋体" w:eastAsia="仿宋_GB2312"/>
                <w:b/>
                <w:sz w:val="24"/>
              </w:rPr>
            </w:pPr>
            <w:bookmarkStart w:id="38" w:name="_Toc3100"/>
            <w:bookmarkStart w:id="39" w:name="_Toc468553692"/>
            <w:r>
              <w:rPr>
                <w:rFonts w:hint="eastAsia" w:ascii="仿宋_GB2312" w:hAnsi="宋体" w:eastAsia="仿宋_GB2312"/>
                <w:b/>
                <w:sz w:val="24"/>
              </w:rPr>
              <w:t>八、合同份数</w:t>
            </w:r>
            <w:bookmarkEnd w:id="38"/>
            <w:bookmarkEnd w:id="39"/>
          </w:p>
          <w:p>
            <w:pPr>
              <w:adjustRightInd w:val="0"/>
              <w:snapToGrid w:val="0"/>
              <w:spacing w:line="300" w:lineRule="auto"/>
              <w:ind w:firstLine="480" w:firstLineChars="200"/>
              <w:rPr>
                <w:rFonts w:ascii="仿宋_GB2312" w:hAnsi="宋体" w:eastAsia="仿宋_GB2312"/>
                <w:sz w:val="24"/>
              </w:rPr>
            </w:pP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壹拾贰 </w:t>
            </w:r>
            <w:r>
              <w:rPr>
                <w:rFonts w:hint="eastAsia" w:ascii="仿宋_GB2312" w:hAnsi="宋体" w:eastAsia="仿宋_GB2312"/>
                <w:sz w:val="24"/>
              </w:rPr>
              <w:t>份，正本</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贰 </w:t>
            </w:r>
            <w:r>
              <w:rPr>
                <w:rFonts w:hint="eastAsia" w:ascii="仿宋_GB2312" w:hAnsi="宋体" w:eastAsia="仿宋_GB2312"/>
                <w:sz w:val="24"/>
              </w:rPr>
              <w:t>份，委托人</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壹 </w:t>
            </w:r>
            <w:r>
              <w:rPr>
                <w:rFonts w:hint="eastAsia" w:ascii="仿宋_GB2312" w:hAnsi="宋体" w:eastAsia="仿宋_GB2312"/>
                <w:sz w:val="24"/>
              </w:rPr>
              <w:t>份，工程咨询单位</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壹 </w:t>
            </w:r>
            <w:r>
              <w:rPr>
                <w:rFonts w:hint="eastAsia" w:ascii="仿宋_GB2312" w:hAnsi="宋体" w:eastAsia="仿宋_GB2312"/>
                <w:sz w:val="24"/>
              </w:rPr>
              <w:t>份；副本</w:t>
            </w:r>
            <w:r>
              <w:rPr>
                <w:rFonts w:hint="eastAsia" w:ascii="仿宋_GB2312" w:hAnsi="宋体" w:eastAsia="仿宋_GB2312"/>
                <w:b/>
                <w:sz w:val="24"/>
                <w:u w:val="single"/>
              </w:rPr>
              <w:t>拾</w:t>
            </w:r>
            <w:r>
              <w:rPr>
                <w:rFonts w:hint="eastAsia" w:ascii="仿宋_GB2312" w:hAnsi="宋体" w:eastAsia="仿宋_GB2312"/>
                <w:sz w:val="24"/>
                <w:u w:val="single"/>
              </w:rPr>
              <w:t xml:space="preserve"> </w:t>
            </w:r>
            <w:r>
              <w:rPr>
                <w:rFonts w:hint="eastAsia" w:ascii="仿宋_GB2312" w:hAnsi="宋体" w:eastAsia="仿宋_GB2312"/>
                <w:sz w:val="24"/>
              </w:rPr>
              <w:t>份，委托人</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陆 </w:t>
            </w:r>
            <w:r>
              <w:rPr>
                <w:rFonts w:hint="eastAsia" w:ascii="仿宋_GB2312" w:hAnsi="宋体" w:eastAsia="仿宋_GB2312"/>
                <w:sz w:val="24"/>
              </w:rPr>
              <w:t>份，工程咨询单位</w:t>
            </w:r>
            <w:r>
              <w:rPr>
                <w:rFonts w:hint="eastAsia" w:ascii="仿宋_GB2312" w:hAnsi="宋体" w:eastAsia="仿宋_GB2312"/>
                <w:sz w:val="24"/>
                <w:u w:val="single"/>
              </w:rPr>
              <w:t xml:space="preserve"> </w:t>
            </w:r>
            <w:r>
              <w:rPr>
                <w:rFonts w:hint="eastAsia" w:ascii="仿宋_GB2312" w:hAnsi="宋体" w:eastAsia="仿宋_GB2312"/>
                <w:b/>
                <w:sz w:val="24"/>
                <w:u w:val="single"/>
              </w:rPr>
              <w:t>肆</w:t>
            </w:r>
            <w:r>
              <w:rPr>
                <w:rFonts w:hint="eastAsia" w:ascii="仿宋_GB2312" w:hAnsi="宋体" w:eastAsia="仿宋_GB2312"/>
                <w:sz w:val="24"/>
                <w:u w:val="single"/>
              </w:rPr>
              <w:t xml:space="preserve"> </w:t>
            </w:r>
            <w:r>
              <w:rPr>
                <w:rFonts w:hint="eastAsia" w:ascii="仿宋_GB2312" w:hAnsi="宋体" w:eastAsia="仿宋_GB2312"/>
                <w:sz w:val="24"/>
              </w:rPr>
              <w:t>份。</w:t>
            </w:r>
          </w:p>
          <w:p>
            <w:pPr>
              <w:adjustRightInd w:val="0"/>
              <w:snapToGrid w:val="0"/>
              <w:spacing w:line="360" w:lineRule="auto"/>
              <w:ind w:firstLine="477" w:firstLineChars="198"/>
              <w:outlineLvl w:val="0"/>
              <w:rPr>
                <w:rFonts w:ascii="仿宋_GB2312" w:hAnsi="宋体" w:eastAsia="仿宋_GB2312"/>
                <w:b/>
                <w:sz w:val="24"/>
              </w:rPr>
            </w:pPr>
            <w:bookmarkStart w:id="40" w:name="_Toc468553693"/>
            <w:bookmarkStart w:id="41" w:name="_Toc5458"/>
            <w:r>
              <w:rPr>
                <w:rFonts w:hint="eastAsia" w:ascii="仿宋_GB2312" w:hAnsi="宋体" w:eastAsia="仿宋_GB2312"/>
                <w:b/>
                <w:sz w:val="24"/>
              </w:rPr>
              <w:t>九、合同生效</w:t>
            </w:r>
            <w:bookmarkEnd w:id="40"/>
            <w:bookmarkEnd w:id="41"/>
          </w:p>
          <w:p>
            <w:pPr>
              <w:adjustRightInd w:val="0"/>
              <w:snapToGrid w:val="0"/>
              <w:spacing w:line="300" w:lineRule="auto"/>
              <w:ind w:firstLine="480" w:firstLineChars="200"/>
              <w:rPr>
                <w:rFonts w:ascii="仿宋_GB2312" w:hAnsi="宋体" w:eastAsia="仿宋_GB2312"/>
                <w:sz w:val="24"/>
              </w:rPr>
            </w:pPr>
            <w:r>
              <w:rPr>
                <w:rFonts w:hint="eastAsia" w:ascii="仿宋_GB2312" w:hAnsi="宋体" w:eastAsia="仿宋_GB2312"/>
                <w:sz w:val="24"/>
              </w:rPr>
              <w:t>合同签订时间：</w:t>
            </w:r>
            <w:r>
              <w:rPr>
                <w:rFonts w:hint="eastAsia" w:ascii="仿宋_GB2312" w:hAnsi="宋体" w:eastAsia="仿宋_GB2312"/>
                <w:sz w:val="24"/>
                <w:u w:val="single"/>
              </w:rPr>
              <w:t xml:space="preserve">                      </w:t>
            </w:r>
          </w:p>
          <w:p>
            <w:pPr>
              <w:adjustRightInd w:val="0"/>
              <w:snapToGrid w:val="0"/>
              <w:spacing w:line="300" w:lineRule="auto"/>
              <w:ind w:firstLine="480" w:firstLineChars="200"/>
              <w:rPr>
                <w:rFonts w:ascii="仿宋_GB2312" w:hAnsi="宋体" w:eastAsia="仿宋_GB2312"/>
                <w:sz w:val="24"/>
              </w:rPr>
            </w:pPr>
            <w:r>
              <w:rPr>
                <w:rFonts w:hint="eastAsia" w:ascii="仿宋_GB2312" w:hAnsi="宋体" w:eastAsia="仿宋_GB2312"/>
                <w:sz w:val="24"/>
              </w:rPr>
              <w:t>合同签订地点：</w:t>
            </w:r>
            <w:r>
              <w:rPr>
                <w:rFonts w:hint="eastAsia" w:ascii="仿宋_GB2312" w:hAnsi="宋体" w:eastAsia="仿宋_GB2312"/>
                <w:sz w:val="24"/>
                <w:u w:val="single"/>
              </w:rPr>
              <w:t xml:space="preserve"> </w:t>
            </w:r>
            <w:r>
              <w:rPr>
                <w:rFonts w:hint="eastAsia" w:ascii="仿宋_GB2312" w:hAnsi="宋体" w:eastAsia="仿宋_GB2312"/>
                <w:b/>
                <w:sz w:val="24"/>
                <w:u w:val="single"/>
              </w:rPr>
              <w:t xml:space="preserve">                      </w:t>
            </w:r>
          </w:p>
          <w:p>
            <w:pPr>
              <w:adjustRightInd w:val="0"/>
              <w:snapToGrid w:val="0"/>
              <w:spacing w:line="300" w:lineRule="auto"/>
              <w:ind w:firstLine="480" w:firstLineChars="200"/>
              <w:rPr>
                <w:rFonts w:ascii="仿宋_GB2312" w:hAnsi="宋体" w:eastAsia="仿宋_GB2312"/>
                <w:sz w:val="24"/>
              </w:rPr>
            </w:pPr>
            <w:r>
              <w:rPr>
                <w:rFonts w:hint="eastAsia" w:ascii="仿宋_GB2312" w:hAnsi="宋体" w:eastAsia="仿宋_GB2312"/>
                <w:sz w:val="24"/>
              </w:rPr>
              <w:t>本合同经双方法定代表人或其委托代理人签署并加盖公章后生效。</w:t>
            </w:r>
          </w:p>
          <w:p>
            <w:pPr>
              <w:adjustRightInd w:val="0"/>
              <w:snapToGrid w:val="0"/>
              <w:spacing w:line="300" w:lineRule="auto"/>
              <w:ind w:firstLine="480" w:firstLineChars="200"/>
              <w:rPr>
                <w:rFonts w:ascii="仿宋_GB2312" w:hAnsi="宋体" w:eastAsia="仿宋_GB2312"/>
                <w:sz w:val="24"/>
              </w:rPr>
            </w:pPr>
          </w:p>
          <w:p>
            <w:pPr>
              <w:adjustRightInd w:val="0"/>
              <w:snapToGrid w:val="0"/>
              <w:spacing w:line="300" w:lineRule="auto"/>
              <w:ind w:firstLine="480" w:firstLineChars="200"/>
              <w:rPr>
                <w:rFonts w:ascii="仿宋_GB2312" w:hAnsi="宋体" w:eastAsia="仿宋_GB2312"/>
                <w:sz w:val="24"/>
              </w:rPr>
            </w:pPr>
          </w:p>
          <w:p>
            <w:pPr>
              <w:adjustRightInd w:val="0"/>
              <w:snapToGrid w:val="0"/>
              <w:spacing w:line="360" w:lineRule="auto"/>
              <w:rPr>
                <w:rFonts w:ascii="仿宋_GB2312" w:hAnsi="宋体" w:eastAsia="仿宋_GB2312"/>
                <w:sz w:val="24"/>
              </w:rPr>
            </w:pPr>
            <w:r>
              <w:rPr>
                <w:rFonts w:hint="eastAsia" w:ascii="仿宋_GB2312" w:hAnsi="宋体" w:eastAsia="仿宋_GB2312"/>
                <w:sz w:val="24"/>
              </w:rPr>
              <w:t>委  托  人：（公章）                     工程咨询单位：（公章）</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住      所：                             住      所：</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法定代表人：                             法定代表人：</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委托代理人：                             委托代理人：</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电      话：                             电      话：</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传      真：                             传      真：</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开户银行：                               开户银行：</w:t>
            </w:r>
          </w:p>
          <w:p>
            <w:pPr>
              <w:adjustRightInd w:val="0"/>
              <w:snapToGrid w:val="0"/>
              <w:spacing w:line="360" w:lineRule="auto"/>
              <w:rPr>
                <w:rFonts w:ascii="仿宋_GB2312" w:hAnsi="宋体" w:eastAsia="仿宋_GB2312"/>
                <w:sz w:val="24"/>
              </w:rPr>
            </w:pPr>
            <w:r>
              <w:rPr>
                <w:rFonts w:hint="eastAsia" w:ascii="仿宋_GB2312" w:hAnsi="宋体" w:eastAsia="仿宋_GB2312"/>
                <w:sz w:val="24"/>
              </w:rPr>
              <w:t>帐   号：                                帐   号：</w:t>
            </w:r>
          </w:p>
          <w:p>
            <w:pPr>
              <w:adjustRightInd w:val="0"/>
              <w:snapToGrid w:val="0"/>
              <w:spacing w:line="360" w:lineRule="auto"/>
              <w:rPr>
                <w:b/>
                <w:bCs/>
                <w:sz w:val="48"/>
                <w:szCs w:val="48"/>
              </w:rPr>
            </w:pPr>
            <w:r>
              <w:rPr>
                <w:rFonts w:hint="eastAsia" w:ascii="仿宋_GB2312" w:hAnsi="宋体" w:eastAsia="仿宋_GB2312"/>
                <w:sz w:val="24"/>
              </w:rPr>
              <w:t>邮政编码：                               邮政编码：</w:t>
            </w:r>
            <w:bookmarkStart w:id="42" w:name="_Toc4926"/>
            <w:bookmarkStart w:id="43" w:name="_Toc28225"/>
          </w:p>
          <w:p>
            <w:pPr>
              <w:adjustRightInd w:val="0"/>
              <w:snapToGrid w:val="0"/>
              <w:spacing w:line="360" w:lineRule="auto"/>
              <w:jc w:val="center"/>
              <w:rPr>
                <w:b/>
                <w:bCs/>
                <w:kern w:val="0"/>
                <w:sz w:val="44"/>
                <w:szCs w:val="44"/>
              </w:rPr>
            </w:pPr>
            <w:r>
              <w:rPr>
                <w:rFonts w:hint="eastAsia"/>
                <w:b/>
                <w:bCs/>
                <w:kern w:val="0"/>
                <w:sz w:val="44"/>
                <w:szCs w:val="44"/>
              </w:rPr>
              <w:t>二、合同条件</w:t>
            </w:r>
            <w:bookmarkEnd w:id="42"/>
            <w:bookmarkEnd w:id="43"/>
            <w:bookmarkStart w:id="44" w:name="_Toc28636"/>
            <w:bookmarkStart w:id="45" w:name="_Toc32622"/>
            <w:bookmarkStart w:id="46" w:name="_Toc26060"/>
          </w:p>
          <w:p>
            <w:pPr>
              <w:spacing w:line="276" w:lineRule="auto"/>
              <w:rPr>
                <w:rFonts w:ascii="仿宋_GB2312" w:hAnsi="宋体" w:eastAsia="仿宋_GB2312"/>
                <w:b/>
                <w:sz w:val="24"/>
              </w:rPr>
            </w:pPr>
            <w:r>
              <w:rPr>
                <w:rFonts w:hint="eastAsia" w:ascii="仿宋_GB2312" w:hAnsi="宋体" w:eastAsia="仿宋_GB2312"/>
                <w:b/>
                <w:sz w:val="24"/>
              </w:rPr>
              <w:t>1.一般约定</w:t>
            </w:r>
          </w:p>
          <w:p>
            <w:pPr>
              <w:spacing w:line="276" w:lineRule="auto"/>
              <w:rPr>
                <w:rFonts w:ascii="仿宋_GB2312" w:hAnsi="宋体" w:eastAsia="仿宋_GB2312"/>
                <w:sz w:val="24"/>
              </w:rPr>
            </w:pPr>
            <w:r>
              <w:rPr>
                <w:rFonts w:hint="eastAsia" w:ascii="仿宋_GB2312" w:hAnsi="宋体" w:eastAsia="仿宋_GB2312"/>
                <w:sz w:val="24"/>
              </w:rPr>
              <w:t>1.1定义</w:t>
            </w:r>
          </w:p>
          <w:bookmarkEnd w:id="44"/>
          <w:bookmarkEnd w:id="45"/>
          <w:bookmarkEnd w:id="46"/>
          <w:p>
            <w:pPr>
              <w:tabs>
                <w:tab w:val="left" w:pos="1050"/>
                <w:tab w:val="left" w:pos="1260"/>
              </w:tabs>
              <w:adjustRightInd w:val="0"/>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在本合同中，下列名词或术语，除文中另有要求和说明外，应具有本条所指的含义：</w:t>
            </w:r>
          </w:p>
          <w:p>
            <w:pPr>
              <w:pStyle w:val="11"/>
              <w:adjustRightInd w:val="0"/>
              <w:snapToGrid w:val="0"/>
              <w:spacing w:line="276" w:lineRule="auto"/>
              <w:ind w:left="0" w:leftChars="0" w:firstLine="252" w:firstLineChars="100"/>
              <w:rPr>
                <w:rFonts w:ascii="仿宋_GB2312" w:hAnsi="宋体" w:eastAsia="仿宋_GB2312"/>
                <w:spacing w:val="6"/>
                <w:kern w:val="11"/>
                <w:sz w:val="24"/>
              </w:rPr>
            </w:pPr>
            <w:r>
              <w:rPr>
                <w:rFonts w:hint="eastAsia" w:ascii="仿宋_GB2312" w:hAnsi="宋体" w:eastAsia="仿宋_GB2312"/>
                <w:spacing w:val="6"/>
                <w:kern w:val="11"/>
                <w:sz w:val="24"/>
              </w:rPr>
              <w:t>(a)(Ⅰ)“委托人”是指本合同中委托工程咨询与相关服务的一方，及其合法的继承人或受让人。本合同的委托人是中国金币深圳经销中心。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（Ⅱ）“工程咨询单位”是指本合同中提供工程咨询与相关服务的一方，及其合法的继承人。</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（Ⅲ）“承包人”是指在工程范围内与委托人签订勘察、设计、施工等有关合同的当事人，及其合法的继承人。</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（Ⅳ）“一方”是指委托人或工程咨询单位；“双方”是指委托人和工程咨询单位；“第三方”是指除委托人和工程咨询单位以外的有关方。</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（Ⅴ）“项目组织机构”是指工程咨询单位派驻工程负责履行本合同的组织机构。</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（Ⅵ）“审计部门”指负责对包括本项目在内的深圳市政府投资项目进行审核的政府专门机构。</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（Ⅶ）“发改部门”指市发改部门等负责对包括本项目在内的深圳市政府投资项目的立项、投资批复的政府专门机构。</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（Ⅷ）“财政部门”指市财政部门等负责对包括本项目在内的深圳市政府投资项目进行资金拨付的政府专门机构。</w:t>
            </w:r>
          </w:p>
          <w:p>
            <w:pPr>
              <w:pStyle w:val="11"/>
              <w:adjustRightInd w:val="0"/>
              <w:snapToGrid w:val="0"/>
              <w:spacing w:line="276" w:lineRule="auto"/>
              <w:ind w:left="0" w:leftChars="0" w:firstLine="126" w:firstLineChars="50"/>
              <w:rPr>
                <w:rFonts w:ascii="仿宋_GB2312" w:hAnsi="宋体" w:eastAsia="仿宋_GB2312"/>
                <w:spacing w:val="6"/>
                <w:kern w:val="11"/>
                <w:sz w:val="24"/>
              </w:rPr>
            </w:pPr>
            <w:r>
              <w:rPr>
                <w:rFonts w:hint="eastAsia" w:ascii="仿宋_GB2312" w:hAnsi="宋体" w:eastAsia="仿宋_GB2312"/>
                <w:spacing w:val="6"/>
                <w:kern w:val="11"/>
                <w:sz w:val="24"/>
              </w:rPr>
              <w:t>(b)（Ⅰ）“合同”指合同条件、投标文件、中标通知书、合同协议书以及构成合同组成部分的其他文件。</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（Ⅱ）“规范”指国家现行的相关规范。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（Ⅲ）“投标文件”指工程咨询单位为完成本合同约定的工程咨询任务向委托人提交的相关文件。</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（Ⅳ）“中标通知书”指委托人对投标文件的正式接受函件。</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（Ⅴ）“投标函附件”指构成投标文件的附件。</w:t>
            </w:r>
          </w:p>
          <w:p>
            <w:pPr>
              <w:pStyle w:val="11"/>
              <w:adjustRightInd w:val="0"/>
              <w:snapToGrid w:val="0"/>
              <w:spacing w:line="276" w:lineRule="auto"/>
              <w:ind w:left="0" w:leftChars="0" w:firstLine="126" w:firstLineChars="50"/>
              <w:rPr>
                <w:rFonts w:ascii="仿宋_GB2312" w:hAnsi="宋体" w:eastAsia="仿宋_GB2312"/>
                <w:spacing w:val="6"/>
                <w:kern w:val="11"/>
                <w:sz w:val="24"/>
              </w:rPr>
            </w:pPr>
            <w:r>
              <w:rPr>
                <w:rFonts w:hint="eastAsia" w:ascii="仿宋_GB2312" w:hAnsi="宋体" w:eastAsia="仿宋_GB2312"/>
                <w:spacing w:val="6"/>
                <w:kern w:val="11"/>
                <w:sz w:val="24"/>
              </w:rPr>
              <w:t>(c)（Ⅰ）“工程”是指按照本合同约定实施工程咨询与相关服务的建设工程合同段。</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（Ⅱ）“工程咨询”是指按照本合同约定实施本工程的项目咨询工作、工程监理工作（施工准备、施工及保修阶段）、以及应由工程咨询单位完成的其他工作。</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Ⅲ）“项目咨询”是指工程咨询单位受委托人的委托，依照法律法规、工程建设标准、设计文件及合同，对建设项目从前期、实施到竣工各阶段、各环节建设工程质量、进度、造价进行控制管理，减少工程错误和遗漏，提高工程质量，保证工程造价，符合投资概算的服务活动。</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Ⅳ）“工程监理”是指工程咨询单位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（Ⅴ）“相关服务”是指工程咨询单位受委托人的委托，按照本合同约定提供的服务活动。</w:t>
            </w:r>
          </w:p>
          <w:p>
            <w:pPr>
              <w:pStyle w:val="11"/>
              <w:adjustRightInd w:val="0"/>
              <w:snapToGrid w:val="0"/>
              <w:spacing w:line="276" w:lineRule="auto"/>
              <w:ind w:left="0" w:leftChars="0" w:firstLine="126" w:firstLineChars="50"/>
              <w:rPr>
                <w:rFonts w:ascii="仿宋_GB2312" w:hAnsi="宋体" w:eastAsia="仿宋_GB2312"/>
                <w:spacing w:val="6"/>
                <w:kern w:val="11"/>
                <w:sz w:val="24"/>
              </w:rPr>
            </w:pPr>
            <w:r>
              <w:rPr>
                <w:rFonts w:hint="eastAsia" w:ascii="仿宋_GB2312" w:hAnsi="宋体" w:eastAsia="仿宋_GB2312"/>
                <w:spacing w:val="6"/>
                <w:kern w:val="11"/>
                <w:sz w:val="24"/>
              </w:rPr>
              <w:t>(d)（Ⅰ）“天”是指第一天零时至第二天零时的时间。</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（Ⅱ）“月”是指按公历从一个月中任何一天开始的一个公历月时间。</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（Ⅲ）“书面形式”是指合同书、信件和数据电文（包括电报、电传、传真、电子数据交换和电子邮件）等可以有形地表现所载内容的形式。</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Ⅳ）“不可抗力”是指委托人和工程咨询单位在订立本合同时不可预见，在工程施工过程中不可避免发生并不能克服的自然灾害和社会性突发事件，如地震、海啸、瘟疫、水灾、骚乱、暴动、战争和专用条件约定的其他情形。</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（Ⅴ）“国家”指中华人民共和国。</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（Ⅵ）“当地”指本合同项目所在地及其附近。</w:t>
            </w:r>
          </w:p>
          <w:p>
            <w:pPr>
              <w:pStyle w:val="11"/>
              <w:adjustRightInd w:val="0"/>
              <w:snapToGrid w:val="0"/>
              <w:spacing w:line="276" w:lineRule="auto"/>
              <w:ind w:left="0" w:leftChars="0" w:firstLine="529" w:firstLineChars="210"/>
              <w:rPr>
                <w:rFonts w:hint="eastAsia" w:ascii="仿宋_GB2312" w:hAnsi="宋体" w:eastAsia="仿宋_GB2312"/>
                <w:spacing w:val="6"/>
                <w:kern w:val="11"/>
                <w:sz w:val="24"/>
              </w:rPr>
            </w:pPr>
            <w:r>
              <w:rPr>
                <w:rFonts w:hint="eastAsia" w:ascii="仿宋_GB2312" w:hAnsi="宋体" w:eastAsia="仿宋_GB2312"/>
                <w:spacing w:val="6"/>
                <w:kern w:val="11"/>
                <w:sz w:val="24"/>
              </w:rPr>
              <w:t>（Ⅶ）“币种”指人民币（RMB），除非合同另有约定。</w:t>
            </w:r>
          </w:p>
          <w:p>
            <w:pPr>
              <w:pStyle w:val="11"/>
              <w:adjustRightInd w:val="0"/>
              <w:snapToGrid w:val="0"/>
              <w:spacing w:line="276" w:lineRule="auto"/>
              <w:ind w:left="0" w:leftChars="0"/>
              <w:rPr>
                <w:rFonts w:ascii="仿宋_GB2312" w:hAnsi="宋体" w:eastAsia="仿宋_GB2312"/>
                <w:b/>
                <w:sz w:val="24"/>
              </w:rPr>
            </w:pPr>
            <w:r>
              <w:rPr>
                <w:rFonts w:hint="eastAsia" w:ascii="仿宋_GB2312" w:hAnsi="宋体" w:eastAsia="仿宋_GB2312"/>
                <w:b/>
                <w:sz w:val="24"/>
              </w:rPr>
              <w:t>2.工作模式</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2.1本项目拟采用全过程工程咨询服务一体化服务管理模式。</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2.2全过程工程咨询人派出的项目管理团队对工程项目策划、前期、实施、验收移交、保修、竣工决算等全过程实施管理。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 xml:space="preserve">2.3全过程工程咨询人派出的设计、监理、造价咨询工程师团队承担本项目的设计、监理及造价咨询工作和国家、省、市等法律法规规定的相关责任。    </w:t>
            </w:r>
          </w:p>
          <w:p>
            <w:pPr>
              <w:pStyle w:val="11"/>
              <w:adjustRightInd w:val="0"/>
              <w:snapToGrid w:val="0"/>
              <w:spacing w:line="276" w:lineRule="auto"/>
              <w:ind w:left="0" w:leftChars="0" w:firstLine="529" w:firstLineChars="210"/>
              <w:rPr>
                <w:rFonts w:ascii="宋体" w:hAnsi="宋体"/>
                <w:spacing w:val="6"/>
                <w:kern w:val="11"/>
                <w:szCs w:val="21"/>
              </w:rPr>
            </w:pPr>
            <w:r>
              <w:rPr>
                <w:rFonts w:hint="eastAsia" w:ascii="仿宋_GB2312" w:hAnsi="宋体" w:eastAsia="仿宋_GB2312"/>
                <w:spacing w:val="6"/>
                <w:kern w:val="11"/>
                <w:sz w:val="24"/>
              </w:rPr>
              <w:t>2.4委托人派驻的项目组与全过程工程咨询人共同组成项目咨询团队，委托人派驻的项目组有权代表委托人对全过程工程咨询人的工作进行检查、监督，参与重大事项的决策，委托人派驻的项目组负责委托人与全过程工程咨询人之间的沟通与协调工作，指导全过程工程咨询人按照委托人有关政府工程建设制度履行程序，指导全过程工程咨询人向委托人设立的招标委员会、技术委员会、材料设备委员会、专业组等机构汇报等工作。</w:t>
            </w:r>
            <w:bookmarkStart w:id="47" w:name="_Toc12933"/>
            <w:bookmarkStart w:id="48" w:name="_Toc12114"/>
            <w:bookmarkStart w:id="49" w:name="_Toc17166"/>
            <w:bookmarkStart w:id="50" w:name="_Toc302461556"/>
            <w:bookmarkStart w:id="51" w:name="_Toc265849367"/>
          </w:p>
          <w:p>
            <w:pPr>
              <w:pStyle w:val="11"/>
              <w:adjustRightInd w:val="0"/>
              <w:snapToGrid w:val="0"/>
              <w:spacing w:line="360" w:lineRule="auto"/>
              <w:ind w:left="0" w:leftChars="0"/>
              <w:jc w:val="center"/>
              <w:rPr>
                <w:rFonts w:hint="eastAsia"/>
                <w:b/>
                <w:bCs/>
                <w:sz w:val="44"/>
                <w:szCs w:val="44"/>
              </w:rPr>
            </w:pPr>
          </w:p>
          <w:p>
            <w:pPr>
              <w:pStyle w:val="11"/>
              <w:adjustRightInd w:val="0"/>
              <w:snapToGrid w:val="0"/>
              <w:spacing w:line="360" w:lineRule="auto"/>
              <w:ind w:left="0" w:leftChars="0"/>
              <w:jc w:val="center"/>
              <w:rPr>
                <w:b/>
                <w:bCs/>
                <w:sz w:val="44"/>
                <w:szCs w:val="44"/>
              </w:rPr>
            </w:pPr>
            <w:r>
              <w:rPr>
                <w:rFonts w:hint="eastAsia"/>
                <w:b/>
                <w:bCs/>
                <w:sz w:val="44"/>
                <w:szCs w:val="44"/>
              </w:rPr>
              <w:t>三、合同文件</w:t>
            </w:r>
            <w:bookmarkEnd w:id="47"/>
            <w:bookmarkEnd w:id="48"/>
            <w:bookmarkEnd w:id="49"/>
            <w:bookmarkEnd w:id="50"/>
            <w:bookmarkEnd w:id="51"/>
          </w:p>
          <w:p>
            <w:pPr>
              <w:pStyle w:val="6"/>
              <w:widowControl/>
              <w:numPr>
                <w:ilvl w:val="5"/>
                <w:numId w:val="0"/>
              </w:numPr>
              <w:tabs>
                <w:tab w:val="left" w:pos="1152"/>
              </w:tabs>
              <w:spacing w:after="60" w:line="360" w:lineRule="auto"/>
              <w:ind w:left="-432"/>
              <w:jc w:val="left"/>
              <w:rPr>
                <w:rFonts w:ascii="仿宋_GB2312" w:hAnsi="宋体" w:eastAsia="仿宋_GB2312"/>
                <w:b/>
                <w:sz w:val="24"/>
                <w:szCs w:val="24"/>
              </w:rPr>
            </w:pPr>
            <w:bookmarkStart w:id="52" w:name="_Toc302461557"/>
            <w:bookmarkStart w:id="53" w:name="_Toc265849368"/>
            <w:r>
              <w:rPr>
                <w:rFonts w:hint="eastAsia" w:ascii="仿宋_GB2312" w:hAnsi="宋体" w:eastAsia="仿宋_GB2312"/>
                <w:b/>
                <w:sz w:val="24"/>
                <w:szCs w:val="24"/>
              </w:rPr>
              <w:t xml:space="preserve"> 3.法律</w:t>
            </w:r>
            <w:bookmarkEnd w:id="52"/>
            <w:bookmarkEnd w:id="53"/>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本合同必须服从国家现行法律和法规；合同的解释应以现行法律和法规为准。全过程工程咨询单位的工作应遵循以下法律、法规和有关规定：</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3.1《中华人民共和国建筑法》；</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3.2《工程咨询行业管理办法》2017年第9号令；</w:t>
            </w:r>
          </w:p>
          <w:p>
            <w:pPr>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 xml:space="preserve">    3.3《建设工程质量管理条例》；</w:t>
            </w:r>
          </w:p>
          <w:p>
            <w:pPr>
              <w:adjustRightInd w:val="0"/>
              <w:snapToGrid w:val="0"/>
              <w:spacing w:line="360" w:lineRule="auto"/>
              <w:ind w:firstLine="720" w:firstLineChars="300"/>
              <w:rPr>
                <w:rFonts w:ascii="仿宋_GB2312" w:hAnsi="宋体" w:eastAsia="仿宋_GB2312"/>
                <w:sz w:val="24"/>
              </w:rPr>
            </w:pPr>
            <w:r>
              <w:rPr>
                <w:rFonts w:hint="eastAsia" w:ascii="仿宋_GB2312" w:hAnsi="宋体" w:eastAsia="仿宋_GB2312"/>
                <w:sz w:val="24"/>
              </w:rPr>
              <w:t xml:space="preserve">  3.4《建设工程设计规范》；</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3.5《建设工程监理规范》；</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3.6《建设工程造价咨询规范》；</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3.7《深圳市规范项目经理和项目总监任职行为的若干规定》</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 xml:space="preserve">    3.8其它相关法律、法规、规章及规定。</w:t>
            </w:r>
          </w:p>
          <w:p>
            <w:pPr>
              <w:pStyle w:val="6"/>
              <w:widowControl/>
              <w:numPr>
                <w:ilvl w:val="5"/>
                <w:numId w:val="0"/>
              </w:numPr>
              <w:tabs>
                <w:tab w:val="left" w:pos="1152"/>
              </w:tabs>
              <w:spacing w:after="60" w:line="360" w:lineRule="auto"/>
              <w:ind w:left="-432"/>
              <w:jc w:val="left"/>
              <w:rPr>
                <w:rFonts w:ascii="仿宋_GB2312" w:hAnsi="宋体" w:eastAsia="仿宋_GB2312"/>
                <w:b/>
                <w:sz w:val="24"/>
                <w:szCs w:val="24"/>
              </w:rPr>
            </w:pPr>
            <w:bookmarkStart w:id="54" w:name="_Toc302461558"/>
            <w:bookmarkStart w:id="55" w:name="_Toc265849369"/>
            <w:r>
              <w:rPr>
                <w:rFonts w:hint="eastAsia" w:ascii="仿宋_GB2312" w:hAnsi="宋体" w:eastAsia="仿宋_GB2312"/>
                <w:b/>
                <w:sz w:val="24"/>
                <w:szCs w:val="24"/>
              </w:rPr>
              <w:t>4.合同文件的优先次序</w:t>
            </w:r>
            <w:bookmarkEnd w:id="54"/>
            <w:bookmarkEnd w:id="55"/>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组成合同的各个文件应该认为是一个整体，彼此相互解释，相互补充。如果出现含糊不清或相互矛盾的情况，由委托人做出解释和调整。在这种情况下，除非合同另有规定，组成合同的几个文件的优先支配地位应依次如下：</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4.1合同协议书及双方签订的补充协议；</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4.2中标通知书；</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4.3招标文件及补遗；</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4.4投标书及其附件（含工程咨询单位在评标期间和合同谈判过程中递交和确认并经委托人同意的对有关问题的补充资料和澄清文件等，如果有）；</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4.5合同条件（含招标文件补遗书中与此有关的部分，如果有）；</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4.6双方认为应作为合同构成的其他文件。</w:t>
            </w:r>
          </w:p>
          <w:p>
            <w:pPr>
              <w:pStyle w:val="11"/>
              <w:adjustRightInd w:val="0"/>
              <w:snapToGrid w:val="0"/>
              <w:spacing w:line="276" w:lineRule="auto"/>
              <w:ind w:left="0" w:leftChars="0" w:firstLine="529" w:firstLineChars="210"/>
              <w:rPr>
                <w:rFonts w:hint="eastAsia"/>
                <w:b/>
                <w:bCs/>
                <w:sz w:val="44"/>
                <w:szCs w:val="44"/>
              </w:rPr>
            </w:pPr>
            <w:r>
              <w:rPr>
                <w:rFonts w:hint="eastAsia" w:ascii="仿宋_GB2312" w:hAnsi="宋体" w:eastAsia="仿宋_GB2312"/>
                <w:spacing w:val="6"/>
                <w:kern w:val="11"/>
                <w:sz w:val="24"/>
              </w:rPr>
              <w:t>如无特别理由，合同履行过程中委托人制定的有关工程咨询的普适性管理规定可作为合同文件的有效组成部分，工程咨询单位应予以执行，但有违公平原则的除外。</w:t>
            </w:r>
            <w:bookmarkStart w:id="56" w:name="_Toc4134"/>
            <w:bookmarkStart w:id="57" w:name="_Toc3598"/>
            <w:bookmarkStart w:id="58" w:name="_Toc2026"/>
          </w:p>
          <w:p>
            <w:pPr>
              <w:pStyle w:val="11"/>
              <w:adjustRightInd w:val="0"/>
              <w:snapToGrid w:val="0"/>
              <w:spacing w:line="360" w:lineRule="auto"/>
              <w:ind w:left="0" w:leftChars="0"/>
              <w:jc w:val="center"/>
              <w:rPr>
                <w:b/>
                <w:bCs/>
                <w:sz w:val="44"/>
                <w:szCs w:val="44"/>
              </w:rPr>
            </w:pPr>
            <w:r>
              <w:rPr>
                <w:rFonts w:hint="eastAsia"/>
                <w:b/>
                <w:bCs/>
                <w:sz w:val="44"/>
                <w:szCs w:val="44"/>
              </w:rPr>
              <w:t>四、工程咨询单位义务</w:t>
            </w:r>
            <w:bookmarkEnd w:id="56"/>
            <w:bookmarkEnd w:id="57"/>
            <w:bookmarkEnd w:id="58"/>
            <w:r>
              <w:rPr>
                <w:rFonts w:hint="eastAsia"/>
                <w:b/>
                <w:bCs/>
                <w:sz w:val="44"/>
                <w:szCs w:val="44"/>
              </w:rPr>
              <w:t>与责任</w:t>
            </w:r>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cs="宋体"/>
                <w:b/>
                <w:sz w:val="24"/>
                <w:szCs w:val="24"/>
              </w:rPr>
            </w:pPr>
            <w:r>
              <w:rPr>
                <w:rFonts w:hint="eastAsia" w:ascii="仿宋_GB2312" w:hAnsi="宋体" w:eastAsia="仿宋_GB2312" w:cs="宋体"/>
                <w:b/>
                <w:sz w:val="24"/>
                <w:szCs w:val="24"/>
              </w:rPr>
              <w:t>5.工程咨询单位的服务范围</w:t>
            </w:r>
          </w:p>
          <w:p>
            <w:pPr>
              <w:pStyle w:val="11"/>
              <w:adjustRightInd w:val="0"/>
              <w:snapToGrid w:val="0"/>
              <w:spacing w:line="360" w:lineRule="auto"/>
              <w:ind w:left="0" w:leftChars="0"/>
              <w:rPr>
                <w:rFonts w:ascii="仿宋_GB2312" w:hAnsi="宋体" w:eastAsia="仿宋_GB2312" w:cs="宋体"/>
                <w:sz w:val="24"/>
              </w:rPr>
            </w:pPr>
            <w:r>
              <w:rPr>
                <w:rFonts w:hint="eastAsia" w:ascii="仿宋_GB2312" w:hAnsi="宋体" w:eastAsia="仿宋_GB2312" w:cs="宋体"/>
                <w:sz w:val="24"/>
              </w:rPr>
              <w:t xml:space="preserve">    自合同签订之日起，对项目进行全过程策划与管理。包括但不限于以下方面：</w:t>
            </w:r>
          </w:p>
          <w:p>
            <w:pPr>
              <w:pStyle w:val="11"/>
              <w:adjustRightInd w:val="0"/>
              <w:snapToGrid w:val="0"/>
              <w:spacing w:line="276" w:lineRule="auto"/>
              <w:ind w:left="0" w:leftChars="0" w:firstLine="529" w:firstLineChars="210"/>
              <w:rPr>
                <w:rFonts w:hint="eastAsia" w:ascii="仿宋_GB2312" w:hAnsi="宋体" w:eastAsia="仿宋_GB2312"/>
                <w:spacing w:val="6"/>
                <w:kern w:val="11"/>
                <w:sz w:val="24"/>
              </w:rPr>
            </w:pPr>
            <w:r>
              <w:rPr>
                <w:rFonts w:hint="eastAsia" w:ascii="仿宋_GB2312" w:hAnsi="宋体" w:eastAsia="仿宋_GB2312"/>
                <w:spacing w:val="6"/>
                <w:kern w:val="11"/>
                <w:sz w:val="24"/>
              </w:rPr>
              <w:t>5.1  项目咨询: 项目计划统筹及总体管理、前期工作管理、设计管理、技术管理、进度管理、投资管理、质量安全管理、实验室工艺咨询管理、项目组织协调管理、招标采购管理、合同管理、BIM管理、档案信息管理、报批报建管理、协助办理申报奖项、竣工验收及移交管理、工程结算管理以及与项目建设管理相关的其他工作。</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5.2 全过程设计：根据招标人确定的年度修缮及其他维修项目内容，结合实际出具相应施工图纸，满足现场施工需要，根据实际变更出具变更图纸，项目竣工后出具竣工图纸。</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5.3工程监理：施工准备阶段监理、施工阶段监理、保修监理及后续服务管理以及与工程监理相关的其他工作。</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5.4全过程工程咨询单位依法承担与项目管理工作、工程监理工作相应的法律责任。</w:t>
            </w:r>
            <w:bookmarkStart w:id="59" w:name="_Toc29314"/>
          </w:p>
          <w:p>
            <w:pPr>
              <w:pStyle w:val="6"/>
              <w:widowControl/>
              <w:numPr>
                <w:ilvl w:val="5"/>
                <w:numId w:val="0"/>
              </w:numPr>
              <w:tabs>
                <w:tab w:val="left" w:pos="1152"/>
              </w:tabs>
              <w:spacing w:after="60" w:line="360" w:lineRule="auto"/>
              <w:ind w:firstLine="482" w:firstLineChars="200"/>
              <w:jc w:val="left"/>
              <w:rPr>
                <w:rFonts w:ascii="仿宋_GB2312" w:hAnsi="宋体" w:eastAsia="仿宋_GB2312" w:cs="宋体"/>
                <w:b/>
                <w:sz w:val="24"/>
                <w:szCs w:val="24"/>
              </w:rPr>
            </w:pPr>
            <w:r>
              <w:rPr>
                <w:rFonts w:hint="eastAsia" w:ascii="仿宋_GB2312" w:hAnsi="宋体" w:eastAsia="仿宋_GB2312" w:cs="宋体"/>
                <w:b/>
                <w:sz w:val="24"/>
                <w:szCs w:val="24"/>
              </w:rPr>
              <w:t>6.工程咨询单位的责任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6.1在项目策划与管理相关服务过程中，如果因工程建设进度的推迟或延误而超过书面约定的服务期，双方应另拟订补充协议约定相应延长的服务期。</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6.2工程咨询单位在服务期内，应当履行项目策划与管理合同中约定的义务，如因工程咨询单位原因而发生质量事故，造成委托人经济损失，工程咨询单位应当向委托人赔偿。</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如因工程咨询单位的原因使工期延误，造成委托人经济损失，工程咨询单位应当向委托人赔偿；如因委托人的原因造成工期延误，委托人不向工程咨询单位补偿。</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6.3工程咨询单位对各类承包人违反合同约定的质量、安全要求和建筑节能要求，以及竣工（交图、交货）时限，工程咨询单位应当采取措施予以制止，不能有效制止的，应当及时通知委托人，并报告建设行政主管部门或有关行政主管部门。因不可抗力导致委托项目策划与管理合同不能全部或部分履行，工程咨询单位不承担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6.4工程咨询单位向委托人提出赔偿要求不能成立时，工程咨询单位应当补偿由于该索赔所导致委托人的各种费用支出。</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6.5工程咨询单位应当按照法律、法规，工程建设强制性标准及项目策划与管理合同实施项目策划、工程咨询和监理，对所管理和监理工程的施工质量、安全生产、建筑节能进行监督检查，并对施工质量、安全生产及建筑节能承担工程咨询管理责任和监理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6.6对涉及安全或对投资影响重大的有关计算，工程咨询单位必须提供设计计算书（包括设计输入条件、基础数据、计算方法、计算结果等）以便委托人或委托人委托的相关单位在必要时使用其它程序进行验算，工程咨询单位不得以专利和知识产权为借口拒绝配合。</w:t>
            </w:r>
          </w:p>
          <w:p>
            <w:pPr>
              <w:pStyle w:val="11"/>
              <w:adjustRightInd w:val="0"/>
              <w:snapToGrid w:val="0"/>
              <w:spacing w:line="276" w:lineRule="auto"/>
              <w:ind w:left="0" w:leftChars="0" w:firstLine="529" w:firstLineChars="210"/>
              <w:rPr>
                <w:rFonts w:ascii="宋体" w:hAnsi="宋体"/>
                <w:spacing w:val="6"/>
                <w:kern w:val="11"/>
                <w:szCs w:val="21"/>
              </w:rPr>
            </w:pPr>
            <w:r>
              <w:rPr>
                <w:rFonts w:hint="eastAsia" w:ascii="仿宋_GB2312" w:hAnsi="宋体" w:eastAsia="仿宋_GB2312"/>
                <w:spacing w:val="6"/>
                <w:kern w:val="11"/>
                <w:sz w:val="24"/>
              </w:rPr>
              <w:t>6.7工程咨询单位对委托人提供的有关文件材料负保密义务，并仅限用于本项目的工作。</w:t>
            </w:r>
          </w:p>
          <w:p>
            <w:pPr>
              <w:pStyle w:val="11"/>
              <w:adjustRightInd w:val="0"/>
              <w:snapToGrid w:val="0"/>
              <w:spacing w:line="360" w:lineRule="auto"/>
              <w:ind w:left="0" w:leftChars="0"/>
              <w:jc w:val="center"/>
              <w:rPr>
                <w:b/>
                <w:bCs/>
                <w:sz w:val="44"/>
                <w:szCs w:val="44"/>
              </w:rPr>
            </w:pPr>
            <w:r>
              <w:rPr>
                <w:rFonts w:hint="eastAsia"/>
                <w:b/>
                <w:bCs/>
                <w:sz w:val="44"/>
                <w:szCs w:val="44"/>
              </w:rPr>
              <w:t>五、委托人义务</w:t>
            </w:r>
            <w:bookmarkEnd w:id="59"/>
          </w:p>
          <w:p>
            <w:pPr>
              <w:pStyle w:val="6"/>
              <w:widowControl/>
              <w:numPr>
                <w:ilvl w:val="5"/>
                <w:numId w:val="0"/>
              </w:numPr>
              <w:tabs>
                <w:tab w:val="left" w:pos="1152"/>
              </w:tabs>
              <w:spacing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 xml:space="preserve"> 7.提供协助</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为使项目策划与管理工作顺利进行，委托人为工程咨询单位及项目组织机构按照具体情况提供如下协助：</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7.1免费提供与本建设项目咨询工作有关的资料；</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7.2 进场、值班、工作和退场所需的条件；</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7.3与其他组织（包括与本项目有关的甲供材料、甲供设备厂家及配合单位）联系的渠道，以便项目组织机构收集为履行服务而应了解的情报信息。</w:t>
            </w:r>
          </w:p>
          <w:p>
            <w:pPr>
              <w:pStyle w:val="11"/>
              <w:adjustRightInd w:val="0"/>
              <w:snapToGrid w:val="0"/>
              <w:spacing w:line="276" w:lineRule="auto"/>
              <w:ind w:left="0" w:leftChars="0" w:firstLine="723" w:firstLineChars="300"/>
              <w:rPr>
                <w:rFonts w:ascii="仿宋_GB2312" w:hAnsi="宋体" w:eastAsia="仿宋_GB2312"/>
                <w:b/>
                <w:bCs/>
                <w:sz w:val="24"/>
              </w:rPr>
            </w:pPr>
            <w:r>
              <w:rPr>
                <w:rFonts w:hint="eastAsia" w:ascii="仿宋_GB2312" w:hAnsi="宋体" w:eastAsia="仿宋_GB2312"/>
                <w:b/>
                <w:bCs/>
                <w:sz w:val="24"/>
              </w:rPr>
              <w:t>8.及时做出决定</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为了不影响工程咨询工作，委托人应在一个合理时间内，就项目组织机构以书面形式提交的一切事宜作出书面决定。</w:t>
            </w:r>
          </w:p>
          <w:p>
            <w:pPr>
              <w:pStyle w:val="11"/>
              <w:adjustRightInd w:val="0"/>
              <w:snapToGrid w:val="0"/>
              <w:spacing w:line="276" w:lineRule="auto"/>
              <w:ind w:left="0" w:leftChars="0" w:firstLine="723" w:firstLineChars="300"/>
              <w:rPr>
                <w:rFonts w:ascii="仿宋_GB2312" w:hAnsi="宋体" w:eastAsia="仿宋_GB2312"/>
                <w:b/>
                <w:bCs/>
                <w:sz w:val="24"/>
              </w:rPr>
            </w:pPr>
            <w:r>
              <w:rPr>
                <w:rFonts w:hint="eastAsia" w:ascii="仿宋_GB2312" w:hAnsi="宋体" w:eastAsia="仿宋_GB2312"/>
                <w:b/>
                <w:bCs/>
                <w:sz w:val="24"/>
              </w:rPr>
              <w:t>9.委托人委托管理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在委托的工程范围内，委托人委托工程咨询单位对工程进行监督、建议、管理：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9.1代表委托人监督设计合同的实施。</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9.2根据项目策划及工程咨询服务工作的需要，通过委托人向设计单位签发有关指令、指示。</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9.3对工程设计和其他专业设计中的技术问题，按照安全和优化的原则,向设计单位提出建议，并向委托人提出书面报告。如果拟提出的建议可能会提高工程造价，或延长工期，应当事先征得委托人的同意。当发现工程设计不符合国家颁布的建设工程质量标准或设计合同约定的质量标准时，项目管理工程师应当书面报告委托人并要求设计人更正。</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9.4对设计质量的检查权。对于不符合设计要求及规程、规范的设计文件，有权通知设计单位进行修改、补充或返工。</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9.5有权要求各设计单位提供用于审查设计文件所需的辅助资料及进一步的说明。</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9.6有权对各设计分包单位的设计质量及进度情况进行检查。</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9.7对设计单位提交的设计进度计划及说明，以及在设计过程中提交的各种详细计划和变更计划的审查权。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9.8当工程设计未能按计划进行时，有权要求设计单位调整或修改计划，并通知设计单位采取必要的措施加快设计进度，当设计进度可能导致合同工期严重延误时，有义务提出中止执行设计承包合同的详细报告，供委托人采取措施时参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9.9设计承包合同约定的设计费范围内，各种设计费支付的建议权。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9.10对不符合设计技术要求和设计合同文件要求的设计文件，有权建议委托人暂拒支付设计费，直到这些设计文件达到要求。</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9.11参加或组织设计总包单位召开的涉及设计管理、进度、质量、技术的有关会议。</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9.12对设计单位提出的设计周期的延长或费用索赔，有责任就其中申述的理由查清情况，并根据合同规定程序审核延长或索赔的款项经委托人审批后发出通知。</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9.13对设计总包单位的主要技术、管理人员的构成、数量依据合同的监督、检查权。对不称职的主要技术、管理人员，有权建议更换。</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9.14工程建设有关事项包括工程规模、设计标准、规划设计、生产工艺设计和使用功能要求，向委托人的建议权。</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9.15审批工程施工组织设计和技术方案，按照保质量、保安全、保工期、降低成本，以及节能的原则，向承包人提出建议，并向委托人提出书面报告。</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9.16工程建设相关协作单位的组织协调的主持权，重要协调事项应事先向委托人报告。</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9.17征得委托人同意，监理工程师有权发布开工令、停工令、复工令，但应当事先向委托人报告。如在紧急情况下未能事先报告时，则应在24小时内向委托人做出书面报告。</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9.18工程上使用的材料和施工质量的检验权。对于不符合设计要求和施工合同约定，以及国家质量标准、节能要求的材料、构配件、设备，有权通知承包人停止使用；对于不符合规范和质量标准的检验批、分项、分部工程和有安全风险的施工作业，有权通知承包人停工整改、返工。承包人得到监理工程师复工令后才能复工。不能有效制止的，应当报告主管部门、工程质量监督或者施工安全监督机构处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9.19工程施工进度的检查、监督权（工期以委托人认定为准）。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9.20在工程承包合同约定的工程价格范围内，工程款支付的审核和签认权，以及结算工程款的复核确认权与否定权。未经项目总负责人和总监签字确认，委托人不得支付工程款。</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9.21项目管理工程师和监理工程师有权及时向委托人获取工程建设过程中有关信息和资料，如：勘察设计委托合同、施工承包合同、供货合同、工程量洽商变更、材料设备采购及工程进度款支付等重要信息、资料，委托人应当给予支持。</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9.22所有工程变更（包括设计变更和工程洽商）应当通过项目总负责人和总监的审核和签认。</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9.23根据委托人与承包人签订的合同条款，对承包人违反合同约定的情况发出处违约金决定的通知，并报委托人备案；</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9.24委托人不派出现场的工程咨询单位人员时，工程咨询单位及其项目组织机构应按《建设工程监理规范》要求对建设工程质量、进度、造价进行管理，对合同、信息进行管理，对工程建设相关方的关系进行协调，并履行建设工程安全生产管理法定职责。</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9.25如果项目管理工程师和监理工程师行使的职权或履行职责的授权来自于委托人和第三方签订的合同文件，项目管理工程师和监理工程师应根据合同文件进行工作。但如果其授权与上述授权有矛盾时，以本授权为准。</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9.26委托人书面授予的其他职权。</w:t>
            </w:r>
          </w:p>
          <w:p>
            <w:pPr>
              <w:pStyle w:val="11"/>
              <w:adjustRightInd w:val="0"/>
              <w:snapToGrid w:val="0"/>
              <w:spacing w:line="276" w:lineRule="auto"/>
              <w:ind w:left="0" w:leftChars="0"/>
              <w:rPr>
                <w:rFonts w:ascii="仿宋_GB2312" w:hAnsi="宋体" w:eastAsia="仿宋_GB2312"/>
                <w:b/>
                <w:bCs/>
                <w:spacing w:val="6"/>
                <w:kern w:val="11"/>
                <w:sz w:val="24"/>
              </w:rPr>
            </w:pPr>
            <w:r>
              <w:rPr>
                <w:rFonts w:hint="eastAsia" w:ascii="仿宋_GB2312" w:hAnsi="宋体" w:eastAsia="仿宋_GB2312"/>
                <w:b/>
                <w:bCs/>
                <w:spacing w:val="6"/>
                <w:kern w:val="11"/>
                <w:sz w:val="24"/>
              </w:rPr>
              <w:t xml:space="preserve">   10.按时付款</w:t>
            </w:r>
          </w:p>
          <w:p>
            <w:pPr>
              <w:pStyle w:val="11"/>
              <w:adjustRightInd w:val="0"/>
              <w:snapToGrid w:val="0"/>
              <w:spacing w:line="276" w:lineRule="auto"/>
              <w:ind w:left="0" w:leftChars="0" w:firstLine="444"/>
              <w:rPr>
                <w:rFonts w:ascii="仿宋_GB2312" w:hAnsi="宋体" w:eastAsia="仿宋_GB2312"/>
                <w:spacing w:val="6"/>
                <w:kern w:val="11"/>
                <w:sz w:val="24"/>
              </w:rPr>
            </w:pPr>
            <w:r>
              <w:rPr>
                <w:rFonts w:hint="eastAsia" w:ascii="仿宋_GB2312" w:hAnsi="宋体" w:eastAsia="仿宋_GB2312"/>
                <w:spacing w:val="6"/>
                <w:kern w:val="11"/>
                <w:sz w:val="24"/>
              </w:rPr>
              <w:t>按合同约定按时、足额地向工程咨询单位支付全过程咨询费。</w:t>
            </w:r>
          </w:p>
          <w:p>
            <w:pPr>
              <w:pStyle w:val="11"/>
              <w:adjustRightInd w:val="0"/>
              <w:snapToGrid w:val="0"/>
              <w:spacing w:line="276" w:lineRule="auto"/>
              <w:ind w:left="0" w:leftChars="0"/>
              <w:rPr>
                <w:rFonts w:ascii="仿宋_GB2312" w:hAnsi="宋体" w:eastAsia="仿宋_GB2312"/>
                <w:b/>
                <w:bCs/>
                <w:spacing w:val="6"/>
                <w:kern w:val="11"/>
                <w:sz w:val="24"/>
              </w:rPr>
            </w:pPr>
            <w:bookmarkStart w:id="60" w:name="_Toc11197"/>
            <w:bookmarkEnd w:id="60"/>
            <w:r>
              <w:rPr>
                <w:rFonts w:hint="eastAsia" w:ascii="仿宋_GB2312" w:hAnsi="宋体" w:eastAsia="仿宋_GB2312"/>
                <w:b/>
                <w:bCs/>
                <w:spacing w:val="6"/>
                <w:kern w:val="11"/>
                <w:sz w:val="24"/>
              </w:rPr>
              <w:t>11.全过程咨询费</w:t>
            </w:r>
          </w:p>
          <w:p>
            <w:pPr>
              <w:pStyle w:val="11"/>
              <w:adjustRightInd w:val="0"/>
              <w:snapToGrid w:val="0"/>
              <w:spacing w:line="276" w:lineRule="auto"/>
              <w:ind w:left="0" w:leftChars="0" w:firstLine="528"/>
              <w:rPr>
                <w:rFonts w:hint="eastAsia" w:ascii="仿宋_GB2312" w:hAnsi="宋体" w:eastAsia="仿宋_GB2312"/>
                <w:spacing w:val="6"/>
                <w:kern w:val="11"/>
                <w:sz w:val="24"/>
              </w:rPr>
            </w:pPr>
            <w:r>
              <w:rPr>
                <w:rFonts w:hint="eastAsia" w:ascii="仿宋_GB2312" w:hAnsi="宋体" w:eastAsia="仿宋_GB2312"/>
                <w:spacing w:val="6"/>
                <w:kern w:val="11"/>
                <w:sz w:val="24"/>
              </w:rPr>
              <w:t>11.1全过程咨询费包括了为实施和完成本项目全部建设工程咨询内容所进行的技术咨询和工程监理及其相关服务所需的劳务费、技术服务费、仪器设备设施费、应委托人要求节假日期间安排人员在岗值班产生的加班费、管理费、保险费、规费、税金和利润等全部相关费用。</w:t>
            </w:r>
          </w:p>
          <w:p>
            <w:pPr>
              <w:pStyle w:val="11"/>
              <w:adjustRightInd w:val="0"/>
              <w:snapToGrid w:val="0"/>
              <w:spacing w:line="276" w:lineRule="auto"/>
              <w:ind w:left="0" w:leftChars="0" w:firstLine="528"/>
              <w:rPr>
                <w:rFonts w:ascii="仿宋_GB2312" w:hAnsi="宋体" w:eastAsia="仿宋_GB2312"/>
                <w:spacing w:val="6"/>
                <w:kern w:val="11"/>
                <w:sz w:val="24"/>
              </w:rPr>
            </w:pPr>
            <w:r>
              <w:rPr>
                <w:rFonts w:hint="eastAsia" w:ascii="仿宋_GB2312" w:hAnsi="宋体" w:eastAsia="仿宋_GB2312"/>
                <w:spacing w:val="6"/>
                <w:kern w:val="11"/>
                <w:sz w:val="24"/>
              </w:rPr>
              <w:t>11.2 依据项目招标文件全过程工程咨询费用的测算依据及中标下浮率，按实结算和支付咨询费用。</w:t>
            </w:r>
          </w:p>
          <w:p>
            <w:pPr>
              <w:pStyle w:val="28"/>
              <w:adjustRightInd w:val="0"/>
              <w:snapToGrid w:val="0"/>
              <w:spacing w:line="276" w:lineRule="auto"/>
              <w:ind w:left="0" w:leftChars="0" w:firstLine="529" w:firstLineChars="210"/>
              <w:rPr>
                <w:rFonts w:hint="eastAsia" w:ascii="仿宋_GB2312" w:hAnsi="宋体" w:eastAsia="仿宋_GB2312"/>
                <w:spacing w:val="6"/>
                <w:kern w:val="11"/>
                <w:sz w:val="24"/>
              </w:rPr>
            </w:pPr>
            <w:r>
              <w:rPr>
                <w:rFonts w:hint="eastAsia" w:ascii="仿宋_GB2312" w:hAnsi="宋体" w:eastAsia="仿宋_GB2312"/>
                <w:spacing w:val="6"/>
                <w:kern w:val="11"/>
                <w:sz w:val="24"/>
              </w:rPr>
              <w:t>11.3结算时，结算价不超合同暂定价，并符合现行法律法规规定。</w:t>
            </w:r>
          </w:p>
          <w:p>
            <w:pPr>
              <w:pStyle w:val="11"/>
              <w:adjustRightInd w:val="0"/>
              <w:snapToGrid w:val="0"/>
              <w:spacing w:line="276" w:lineRule="auto"/>
              <w:ind w:left="0" w:leftChars="0"/>
              <w:rPr>
                <w:rFonts w:ascii="仿宋_GB2312" w:hAnsi="宋体" w:eastAsia="仿宋_GB2312"/>
                <w:b/>
                <w:spacing w:val="6"/>
                <w:kern w:val="11"/>
                <w:sz w:val="24"/>
              </w:rPr>
            </w:pPr>
            <w:r>
              <w:rPr>
                <w:rFonts w:hint="eastAsia" w:ascii="仿宋_GB2312" w:hAnsi="宋体" w:eastAsia="仿宋_GB2312"/>
                <w:b/>
                <w:bCs/>
                <w:spacing w:val="6"/>
                <w:kern w:val="11"/>
                <w:sz w:val="24"/>
              </w:rPr>
              <w:t>12.咨询费的支付</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bookmarkStart w:id="61" w:name="_Toc29278"/>
            <w:r>
              <w:rPr>
                <w:rFonts w:hint="eastAsia" w:ascii="仿宋_GB2312" w:hAnsi="宋体" w:eastAsia="仿宋_GB2312"/>
                <w:spacing w:val="6"/>
                <w:kern w:val="11"/>
                <w:sz w:val="24"/>
              </w:rPr>
              <w:t>委托人应按合同约定的金额将咨询费用及时支付给全过程工程咨询人。如全过程工程咨询人为联合体，委托人将咨询费用支付给联合体牵头人，牵头人按照联合体共同投标协议约定的费用分成分别支付给各联合体成员。</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委托人在收到付款申请书后15日内办理完审批手续并提交财政部门，所有费用由财政部门以转账方式予以支付，委托人不承担非委托人原因引起的支付延误责任。</w:t>
            </w:r>
          </w:p>
          <w:p>
            <w:pPr>
              <w:pStyle w:val="11"/>
              <w:adjustRightInd w:val="0"/>
              <w:snapToGrid w:val="0"/>
              <w:spacing w:line="276" w:lineRule="auto"/>
              <w:ind w:left="0" w:leftChars="0" w:firstLine="529" w:firstLineChars="210"/>
              <w:rPr>
                <w:rFonts w:ascii="仿宋_GB2312" w:hAnsi="仿宋_GB2312" w:eastAsia="仿宋_GB2312" w:cs="仿宋_GB2312"/>
                <w:bCs/>
                <w:sz w:val="24"/>
              </w:rPr>
            </w:pPr>
            <w:r>
              <w:rPr>
                <w:rFonts w:hint="eastAsia" w:ascii="仿宋_GB2312" w:hAnsi="宋体" w:eastAsia="仿宋_GB2312"/>
                <w:spacing w:val="6"/>
                <w:kern w:val="11"/>
                <w:sz w:val="24"/>
              </w:rPr>
              <w:t>12.1酬金的支付:</w:t>
            </w:r>
            <w:r>
              <w:rPr>
                <w:rFonts w:hint="eastAsia" w:ascii="仿宋_GB2312" w:hAnsi="仿宋_GB2312" w:eastAsia="仿宋_GB2312" w:cs="仿宋_GB2312"/>
                <w:bCs/>
                <w:sz w:val="24"/>
              </w:rPr>
              <w:t>按项目节点分阶段支付。</w:t>
            </w:r>
          </w:p>
          <w:p>
            <w:pPr>
              <w:spacing w:line="440" w:lineRule="exact"/>
              <w:ind w:firstLine="240" w:firstLineChars="100"/>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（1）咨询合同签订后7 个工作日内，招标人支付咨询服务费合同暂定价的 20 %。</w:t>
            </w:r>
          </w:p>
          <w:p>
            <w:pPr>
              <w:spacing w:line="440" w:lineRule="exact"/>
              <w:ind w:firstLine="240" w:firstLineChars="100"/>
              <w:rPr>
                <w:rFonts w:ascii="仿宋_GB2312" w:hAnsi="仿宋_GB2312" w:eastAsia="仿宋_GB2312" w:cs="仿宋_GB2312"/>
                <w:bCs/>
                <w:kern w:val="0"/>
                <w:sz w:val="24"/>
              </w:rPr>
            </w:pPr>
            <w:r>
              <w:rPr>
                <w:rFonts w:hint="eastAsia" w:ascii="仿宋_GB2312" w:hAnsi="仿宋_GB2312" w:eastAsia="仿宋_GB2312" w:cs="仿宋_GB2312"/>
                <w:bCs/>
                <w:kern w:val="0"/>
                <w:sz w:val="24"/>
              </w:rPr>
              <w:t>（2）完成拟需设计的项目施工图纸、编制完成招标控制价后，支付合同暂定价的 30 %。</w:t>
            </w:r>
          </w:p>
          <w:p>
            <w:pPr>
              <w:spacing w:line="440" w:lineRule="exact"/>
              <w:ind w:firstLine="240" w:firstLineChars="100"/>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（3）完成项目施工招标、监理人员进场、签发施工开工令后，支付合同暂定价的 30 %。</w:t>
            </w:r>
          </w:p>
          <w:p>
            <w:pPr>
              <w:spacing w:line="440" w:lineRule="exact"/>
              <w:ind w:firstLine="240" w:firstLineChars="100"/>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（4）招标人拟需进行的全过程工程咨询服务项目全部竣工验收完或所在工程经办人签字确认后，招标人支付至咨询服务费结算价的100%。</w:t>
            </w:r>
          </w:p>
          <w:p>
            <w:pPr>
              <w:pStyle w:val="11"/>
              <w:adjustRightInd w:val="0"/>
              <w:snapToGrid w:val="0"/>
              <w:spacing w:before="156" w:beforeLines="50"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12.2违约金的扣除:</w:t>
            </w:r>
          </w:p>
          <w:p>
            <w:pPr>
              <w:pStyle w:val="11"/>
              <w:adjustRightInd w:val="0"/>
              <w:snapToGrid w:val="0"/>
              <w:spacing w:line="276" w:lineRule="auto"/>
              <w:ind w:left="0" w:leftChars="0" w:firstLine="504" w:firstLineChars="210"/>
              <w:rPr>
                <w:rFonts w:ascii="仿宋_GB2312" w:hAnsi="仿宋_GB2312" w:eastAsia="仿宋_GB2312" w:cs="仿宋_GB2312"/>
                <w:bCs/>
                <w:sz w:val="24"/>
              </w:rPr>
            </w:pPr>
            <w:r>
              <w:rPr>
                <w:rFonts w:hint="eastAsia" w:ascii="仿宋_GB2312" w:hAnsi="仿宋_GB2312" w:eastAsia="仿宋_GB2312" w:cs="仿宋_GB2312"/>
                <w:bCs/>
                <w:sz w:val="24"/>
              </w:rPr>
              <w:t>违约金的扣除，按本合同违约条款计算的违约金将在全过程工程咨询人申请的上述全过程工程咨询服务费中及时予以扣除，不足部分将由全过程工程咨询人继续清偿。</w:t>
            </w:r>
          </w:p>
          <w:bookmarkEnd w:id="61"/>
          <w:p>
            <w:pPr>
              <w:pStyle w:val="11"/>
              <w:adjustRightInd w:val="0"/>
              <w:snapToGrid w:val="0"/>
              <w:spacing w:after="156" w:afterLines="50" w:line="240" w:lineRule="auto"/>
              <w:ind w:left="0" w:leftChars="0"/>
              <w:jc w:val="center"/>
              <w:rPr>
                <w:b/>
                <w:bCs/>
                <w:sz w:val="44"/>
                <w:szCs w:val="44"/>
              </w:rPr>
            </w:pPr>
            <w:r>
              <w:rPr>
                <w:rFonts w:hint="eastAsia"/>
                <w:b/>
                <w:bCs/>
                <w:sz w:val="44"/>
                <w:szCs w:val="44"/>
              </w:rPr>
              <w:t>六、违约责任</w:t>
            </w:r>
          </w:p>
          <w:p>
            <w:pPr>
              <w:pStyle w:val="6"/>
              <w:widowControl/>
              <w:numPr>
                <w:ilvl w:val="5"/>
                <w:numId w:val="0"/>
              </w:numPr>
              <w:tabs>
                <w:tab w:val="left" w:pos="1152"/>
              </w:tabs>
              <w:spacing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13.工程咨询单位的违约责任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咨询单位应在合同签订20日内，编制项目任务计划书，以下所有违约日期认定，以任务计划书所列时间节点起算，任务计划书本身延期的，需向发包人支付违约金0.2万元/天（经委托人认可的事项，可以延期）；</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13.1工程咨询单位无任何理由部分或全部不履行合同中应承担的义务时，委托人有权根据其具体情况扣除应支付给工程咨询单位的工程咨询费或者没收其全部（或部分）履约保证金。</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13.2工程咨询单位违反规定而使委托人增加费用和遭受损失时，工程咨询单位应赔偿给委托人造成的损失。</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13.3工程咨询单位应当严格依照有关法律、法规、技术标准以及设计文件、建设工程承包合同、工程咨询合同、造价咨询合同、设计合同等，对工程施工质量实施项目管理和监理，并对施工质量和安全承担项目管理及监理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13.4因工程咨询单位过失导致工程质量缺陷、工程质量事故、安全事故的，工程咨询单位除承担相应的赔偿责任外，还将依法承担相应的行政、法律责任。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13.5工程咨询单位对项目总投资控制负有责任，如因工程咨询单位的责任造成项目总投资超过政府批准的计划投资，则对工程咨询单位处违约金，数额为超过部分金额×工程咨询费率（工程咨询费率=各项目合同价/招标文件载明的各项目建筑安装工程费×100%）。</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13.6工程咨询单位应当严格依照有关法律、法规、技术标准以及设计文件、设计合同、项目策划和管理合同，对工程所有前期工作实施项目策划和管理，并对设计质量承担管理和监理责任。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13.7工程咨询单位对项目设计进度控制负有责任，如因工程咨询单位的责任造成项目设计进度拖延，则每延期1天处违约金0.2万元，延期违约金最高限额为5万。</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13.8如因工程咨询单位原因使工程进度受到延迟，工程咨询单位应主动采取合理补救措施，或按委托人要求的时间采取合理之补救措施，否则委托人有权从本合同中摘取部分工作另行委托其他单位进行，并从工程咨询单位的合同价款中扣除该部分之合理费用；委托人委托其他单位进行工作并不影响委托人行使解除合同之权利；</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13.9工程咨询单位不能采取有效措施以实现建设工程质量、进度和投资控制的目标，或合同、信息管理不力，或未能有效协调工程建设相关方的关系，或未履行建设工程安全生产管理法定职责时，委托人可以视工程咨询单位及其项目组织机构未尽相应合同义务，不予支付相应部分的工程咨询费用，额度上限分别为：工程质量为合同价的30%、进度为合同价的20%、投资控制为合同价的40%。</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13.10工程咨询单位更换项目主要负责人（项目总负责人、设计管理负责人、总监理工程师、造价合约管理负责人）应取得委托人的书面同意除因涉嫌犯罪被羁押或判刑、死亡原因外，承包人更换设计管理负责人、造价合约管理负责人的（含发包人要求更换），须向发包人支付违约金：按签约合同价的</w:t>
            </w:r>
            <w:r>
              <w:rPr>
                <w:rFonts w:ascii="仿宋_GB2312" w:hAnsi="宋体" w:eastAsia="仿宋_GB2312"/>
                <w:spacing w:val="6"/>
                <w:kern w:val="11"/>
                <w:sz w:val="24"/>
              </w:rPr>
              <w:t>2.5%</w:t>
            </w:r>
            <w:r>
              <w:rPr>
                <w:rFonts w:hint="eastAsia" w:ascii="仿宋_GB2312" w:hAnsi="宋体" w:eastAsia="仿宋_GB2312"/>
                <w:spacing w:val="6"/>
                <w:kern w:val="11"/>
                <w:sz w:val="24"/>
              </w:rPr>
              <w:t>。除因涉嫌犯罪被羁押或判刑、死亡原因外，承包人每更换一次项目总负责人、总监理工程师的（含发包人要求更换），应按签约合同价的</w:t>
            </w:r>
            <w:r>
              <w:rPr>
                <w:rFonts w:ascii="仿宋_GB2312" w:hAnsi="宋体" w:eastAsia="仿宋_GB2312"/>
                <w:spacing w:val="6"/>
                <w:kern w:val="11"/>
                <w:sz w:val="24"/>
              </w:rPr>
              <w:t>5%</w:t>
            </w:r>
            <w:r>
              <w:rPr>
                <w:rFonts w:hint="eastAsia" w:ascii="仿宋_GB2312" w:hAnsi="宋体" w:eastAsia="仿宋_GB2312"/>
                <w:spacing w:val="6"/>
                <w:kern w:val="11"/>
                <w:sz w:val="24"/>
              </w:rPr>
              <w:t>委托人将给予扣减监理费作为违约金。如承包人未能按合同要求尽职履约，发包人书面提出更换项目主要负责人（项目总负责人、设计管理负责人、总监理工程师、造价合约管理负责人）要求，承包人拒不更换的，视为承包人严重违约。自发包人书面提出之日起，超过</w:t>
            </w:r>
            <w:r>
              <w:rPr>
                <w:rFonts w:ascii="仿宋_GB2312" w:hAnsi="宋体" w:eastAsia="仿宋_GB2312"/>
                <w:spacing w:val="6"/>
                <w:kern w:val="11"/>
                <w:sz w:val="24"/>
              </w:rPr>
              <w:t xml:space="preserve">20 </w:t>
            </w:r>
            <w:r>
              <w:rPr>
                <w:rFonts w:hint="eastAsia" w:ascii="仿宋_GB2312" w:hAnsi="宋体" w:eastAsia="仿宋_GB2312"/>
                <w:spacing w:val="6"/>
                <w:kern w:val="11"/>
                <w:sz w:val="24"/>
              </w:rPr>
              <w:t>天（含</w:t>
            </w:r>
            <w:r>
              <w:rPr>
                <w:rFonts w:ascii="仿宋_GB2312" w:hAnsi="宋体" w:eastAsia="仿宋_GB2312"/>
                <w:spacing w:val="6"/>
                <w:kern w:val="11"/>
                <w:sz w:val="24"/>
              </w:rPr>
              <w:t xml:space="preserve">20 </w:t>
            </w:r>
            <w:r>
              <w:rPr>
                <w:rFonts w:hint="eastAsia" w:ascii="仿宋_GB2312" w:hAnsi="宋体" w:eastAsia="仿宋_GB2312"/>
                <w:spacing w:val="6"/>
                <w:kern w:val="11"/>
                <w:sz w:val="24"/>
              </w:rPr>
              <w:t>天），承包人应向发包人支付违约金：上述违约金标准×</w:t>
            </w:r>
            <w:r>
              <w:rPr>
                <w:rFonts w:ascii="仿宋_GB2312" w:hAnsi="宋体" w:eastAsia="仿宋_GB2312"/>
                <w:spacing w:val="6"/>
                <w:kern w:val="11"/>
                <w:sz w:val="24"/>
              </w:rPr>
              <w:t xml:space="preserve">1.5 </w:t>
            </w:r>
            <w:r>
              <w:rPr>
                <w:rFonts w:hint="eastAsia" w:ascii="仿宋_GB2312" w:hAnsi="宋体" w:eastAsia="仿宋_GB2312"/>
                <w:spacing w:val="6"/>
                <w:kern w:val="11"/>
                <w:sz w:val="24"/>
              </w:rPr>
              <w:t>倍。发包人有权单方解除合同，没收承包人履约保函，并要求承包人承担由此造成的一切损失。更换项目经理期间延误的工期不予顺延，所有费用由承包人承担，给发包人造成的损失由承包人承担。</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13.11工程咨询单位须在服务期间保证项目组织机构人员的稳定。工程咨询单位提交的工程咨询单位人员名单经委托人确认后，在项目实施的全过程，工程咨询单位不能随意撤换（人员怀孕、重大疾病或退休等特殊情况除外，但须经委托人同意），如有更换须向发包人支付违约金 0.5万元/次/人，如有擅自更换，须向发包人支付违约金0.5万元/人/次；</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13.12委托人按照工程咨询人投标文件内《拟投入本项目人员情况及进场时间一览表》对其所派工程咨询人员进行考勤。如果工程咨询人员未达到承诺的服务时间，将按时间从工程咨询费中扣回相应的薪金。工程咨询人员必须有完善的考勤管理记录，委托人支付进度款或双方结算时，考勤管理记录可作为付款或结算的凭证之一。委托人有权随时检查工程咨询人员在岗情况，如果委托人发现项目组织机构无考勤管理记录，委托人可以不支付该阶段的工程咨询费用；如发现考勤管理记录有造假情况，每人次对工程咨询人处违约金1万元。如果工程咨询人对承诺的人员数量及安排擅自作了变化，则就变动总人数按照不在岗的办法予以处罚（事后征得委托人书面追认同意的情况除外）。如果不在岗的工程咨询人员一天超过两人或不在岗的记录超过10人次，视为重大违约，委托人有权发出整改通知。若委托人第二次以书面形式发出整改通知后7天内未收到工程咨询人书面形式的合理解释，有权提前解除合同。</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13.13委托人认为工程咨询单位人员有违反“廉政守则”嫌疑时，工程咨询单位须更换相关工程咨询单位人员。如工程咨询单位人员违反“廉政守则”，第一次出现时对工程咨询单位处违约金0.5万元，第二次出现时追究项目经理的相应责任并对工程咨询单位再处违约金1万元，出现三次以上的，视为工程咨询单位重大违约，委托人有权解除本合同；</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13.14仪器和工具必须在工程咨询过程中予以落实，委托人在现场检查过程中，若发现因仪器或工具不到位造成现场检查部位没按时检查到位或实测实量检测数量不够，对工程咨询单位处违约金1000元/次；</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13.15如因工程咨询单位派驻的项目组织机构的工作失误,造成工程实施过程中委托人向工程咨询单位或其他承包人开展的索赔或审核无证据支持或过期等,对工程咨询单位处违约金2000元/次；</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13.16工程咨询单位未尽职责被政府有关部门处罚的（如通报批评、警告、罚款或媒体披露等），对工程咨询单位处违约金5000元/次；</w:t>
            </w:r>
          </w:p>
          <w:p>
            <w:pPr>
              <w:ind w:firstLine="504" w:firstLineChars="200"/>
              <w:rPr>
                <w:rFonts w:ascii="仿宋_GB2312" w:hAnsi="宋体" w:eastAsia="仿宋_GB2312"/>
                <w:spacing w:val="6"/>
                <w:kern w:val="11"/>
                <w:sz w:val="24"/>
              </w:rPr>
            </w:pPr>
            <w:r>
              <w:rPr>
                <w:rFonts w:hint="eastAsia" w:ascii="仿宋_GB2312" w:hAnsi="宋体" w:eastAsia="仿宋_GB2312"/>
                <w:spacing w:val="6"/>
                <w:kern w:val="11"/>
                <w:sz w:val="24"/>
              </w:rPr>
              <w:t>13.17除不可抗力因素外，若施工过程中，由于工程咨询单位对安全、质量控制不到位而发生的重大质量事故或安全事故（属于工程咨询单位责任的），对工程咨询单位处违约金，依据相关法律法规处理。</w:t>
            </w:r>
          </w:p>
          <w:p>
            <w:pPr>
              <w:ind w:firstLine="504" w:firstLineChars="200"/>
              <w:rPr>
                <w:rFonts w:ascii="仿宋_GB2312" w:hAnsi="宋体" w:eastAsia="仿宋_GB2312"/>
                <w:spacing w:val="6"/>
                <w:kern w:val="11"/>
                <w:sz w:val="24"/>
              </w:rPr>
            </w:pPr>
            <w:r>
              <w:rPr>
                <w:rFonts w:hint="eastAsia" w:ascii="仿宋_GB2312" w:hAnsi="宋体" w:eastAsia="仿宋_GB2312"/>
                <w:spacing w:val="6"/>
                <w:kern w:val="11"/>
                <w:sz w:val="24"/>
              </w:rPr>
              <w:t>13.18工程咨询单位未尽职责做好投资控制工作，包括工程量审核、单价审定、工程计量、工程结算等，对工程咨询单位处0.5万元/次以下违约金，如合同条件中有明确的处罚标准，则执行相应的处罚条款；</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13.19关键工序工程咨询单位必须派相关人员巡视或旁站，需要相关人员巡检而未巡检的，不随巡检的500元/次，不随旁站的500元/次；</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13.20工程咨询单位未尽职责放行或未发现不合格材料设备或不符合招标文件要求的材料设备，但在委托人组织的检查中发现了承包人使用了上述材料设备，对工程咨询单位处额度为涉案材料设备价款10%的违约金，但不超过合同价的30%；</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13.21工程咨询单位未按现行《建设工程监理规范》、或未按其编制的《监理规划》、《监理实施细则》开展监理及相关服务工作的，委托人将视其情节轻重情况对工程咨询单位处2万元/次以下违约金，如合同条件中有明确的处罚标准，则执行相应的处罚条款；</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13.22在保修服务阶段，因保修服务不到位等原因造成使用单位投诉且工程咨询单位需承担相关责任时，对工程咨询单位处违约金2000元/次；</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13.23若工程咨询单位泄露委托人要求保密的内容和资料，造成不良后果和损失的，赔偿由此给委托人造成的损失，并处违约金1万元；触犯法律的负法律责任。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13.24 对上访、突发事件、舆情处置不利，造成恶劣影响的（如通报、警告、媒体介入等），处违约金5000元/次；</w:t>
            </w:r>
          </w:p>
          <w:p>
            <w:pPr>
              <w:pStyle w:val="11"/>
              <w:adjustRightInd w:val="0"/>
              <w:snapToGrid w:val="0"/>
              <w:spacing w:line="276" w:lineRule="auto"/>
              <w:ind w:left="0" w:leftChars="0"/>
              <w:rPr>
                <w:rFonts w:ascii="仿宋_GB2312" w:hAnsi="宋体" w:eastAsia="仿宋_GB2312"/>
                <w:b/>
                <w:spacing w:val="6"/>
                <w:kern w:val="11"/>
                <w:sz w:val="24"/>
              </w:rPr>
            </w:pPr>
            <w:r>
              <w:rPr>
                <w:rFonts w:hint="eastAsia" w:ascii="仿宋_GB2312" w:hAnsi="宋体" w:eastAsia="仿宋_GB2312"/>
                <w:b/>
                <w:spacing w:val="6"/>
                <w:kern w:val="11"/>
                <w:sz w:val="24"/>
              </w:rPr>
              <w:t>14.工程咨询单位主动更换工程咨询人员</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工程咨询单位可根据工程进展和工作需要调整项目组织机构人员。工程咨询单位更换项目总负责人、设计管理负责人、总监理工程师、造价合约管理负责人时，应提前7天向委托人书面报告，经委托人同意后方可更换；工程咨询单位更换项目组织机构其他工程咨询单位人员时，应通知委托人，经委托人同意后方可更换。工程咨询单位更换项目组织机构人员，均须以与被更换者具有同等资格与能力的人员进行替换。委托人同意上述更换并不免除对工程咨询单位处违约金。</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工程咨询单位应及时更换有下列情形之一的工程咨询单位人员：</w:t>
            </w:r>
          </w:p>
          <w:p>
            <w:pPr>
              <w:pStyle w:val="11"/>
              <w:adjustRightInd w:val="0"/>
              <w:snapToGrid w:val="0"/>
              <w:spacing w:line="276" w:lineRule="auto"/>
              <w:ind w:left="0" w:leftChars="0"/>
              <w:rPr>
                <w:rFonts w:ascii="仿宋_GB2312" w:hAnsi="宋体" w:eastAsia="仿宋_GB2312"/>
                <w:sz w:val="24"/>
              </w:rPr>
            </w:pPr>
            <w:r>
              <w:rPr>
                <w:rFonts w:hint="eastAsia" w:ascii="仿宋_GB2312" w:hAnsi="宋体" w:eastAsia="仿宋_GB2312"/>
                <w:sz w:val="24"/>
              </w:rPr>
              <w:t xml:space="preserve">    （1）有严重过失行为的；</w:t>
            </w:r>
          </w:p>
          <w:p>
            <w:pPr>
              <w:pStyle w:val="11"/>
              <w:adjustRightInd w:val="0"/>
              <w:snapToGrid w:val="0"/>
              <w:spacing w:line="276" w:lineRule="auto"/>
              <w:ind w:left="0" w:leftChars="0"/>
              <w:rPr>
                <w:rFonts w:ascii="仿宋_GB2312" w:hAnsi="宋体" w:eastAsia="仿宋_GB2312"/>
                <w:sz w:val="24"/>
              </w:rPr>
            </w:pPr>
            <w:r>
              <w:rPr>
                <w:rFonts w:hint="eastAsia" w:ascii="仿宋_GB2312" w:hAnsi="宋体" w:eastAsia="仿宋_GB2312"/>
                <w:sz w:val="24"/>
              </w:rPr>
              <w:t xml:space="preserve">    （2）有违法行为不能履行职责的；</w:t>
            </w:r>
          </w:p>
          <w:p>
            <w:pPr>
              <w:pStyle w:val="11"/>
              <w:adjustRightInd w:val="0"/>
              <w:snapToGrid w:val="0"/>
              <w:spacing w:line="276" w:lineRule="auto"/>
              <w:ind w:left="0" w:leftChars="0"/>
              <w:rPr>
                <w:rFonts w:ascii="仿宋_GB2312" w:hAnsi="宋体" w:eastAsia="仿宋_GB2312"/>
                <w:sz w:val="24"/>
              </w:rPr>
            </w:pPr>
            <w:r>
              <w:rPr>
                <w:rFonts w:hint="eastAsia" w:ascii="仿宋_GB2312" w:hAnsi="宋体" w:eastAsia="仿宋_GB2312"/>
                <w:sz w:val="24"/>
              </w:rPr>
              <w:t xml:space="preserve">    （3）涉嫌犯罪的；</w:t>
            </w:r>
          </w:p>
          <w:p>
            <w:pPr>
              <w:pStyle w:val="11"/>
              <w:adjustRightInd w:val="0"/>
              <w:snapToGrid w:val="0"/>
              <w:spacing w:line="276" w:lineRule="auto"/>
              <w:ind w:left="0" w:leftChars="0"/>
              <w:rPr>
                <w:rFonts w:ascii="仿宋_GB2312" w:hAnsi="宋体" w:eastAsia="仿宋_GB2312"/>
                <w:sz w:val="24"/>
              </w:rPr>
            </w:pPr>
            <w:r>
              <w:rPr>
                <w:rFonts w:hint="eastAsia" w:ascii="仿宋_GB2312" w:hAnsi="宋体" w:eastAsia="仿宋_GB2312"/>
                <w:sz w:val="24"/>
              </w:rPr>
              <w:t xml:space="preserve">    （4）不能胜任岗位职责的；</w:t>
            </w:r>
          </w:p>
          <w:p>
            <w:pPr>
              <w:pStyle w:val="11"/>
              <w:adjustRightInd w:val="0"/>
              <w:snapToGrid w:val="0"/>
              <w:spacing w:line="276" w:lineRule="auto"/>
              <w:ind w:left="0" w:leftChars="0"/>
              <w:rPr>
                <w:rFonts w:ascii="仿宋_GB2312" w:hAnsi="宋体" w:eastAsia="仿宋_GB2312"/>
                <w:b/>
                <w:spacing w:val="6"/>
                <w:kern w:val="11"/>
                <w:sz w:val="24"/>
              </w:rPr>
            </w:pPr>
            <w:r>
              <w:rPr>
                <w:rFonts w:hint="eastAsia" w:ascii="仿宋_GB2312" w:hAnsi="宋体" w:eastAsia="仿宋_GB2312"/>
                <w:sz w:val="24"/>
              </w:rPr>
              <w:t xml:space="preserve">    （5）严重违反职业道德的。</w:t>
            </w:r>
            <w:r>
              <w:rPr>
                <w:rFonts w:hint="eastAsia" w:ascii="仿宋_GB2312" w:hAnsi="宋体" w:eastAsia="仿宋_GB2312"/>
                <w:b/>
                <w:spacing w:val="6"/>
                <w:kern w:val="11"/>
                <w:sz w:val="24"/>
              </w:rPr>
              <w:t xml:space="preserve"> </w:t>
            </w:r>
          </w:p>
          <w:p>
            <w:pPr>
              <w:pStyle w:val="11"/>
              <w:adjustRightInd w:val="0"/>
              <w:snapToGrid w:val="0"/>
              <w:spacing w:line="276" w:lineRule="auto"/>
              <w:ind w:left="0" w:leftChars="0"/>
              <w:rPr>
                <w:rFonts w:ascii="仿宋_GB2312" w:hAnsi="宋体" w:eastAsia="仿宋_GB2312"/>
                <w:sz w:val="24"/>
              </w:rPr>
            </w:pPr>
            <w:r>
              <w:rPr>
                <w:rFonts w:hint="eastAsia" w:ascii="仿宋_GB2312" w:hAnsi="宋体" w:eastAsia="仿宋_GB2312"/>
                <w:b/>
                <w:spacing w:val="6"/>
                <w:kern w:val="11"/>
                <w:sz w:val="24"/>
              </w:rPr>
              <w:t>15.委托人要求更换工程咨询单位人员</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工程咨询单位应立即从本工程中撤换那些由工程咨询单位提供的、但委托人认为行为不端或不能胜任工作或玩忽职守的任何人员（包括但不限于项目总负责人、设计管理负责人、总监理工程师、造价合约管理负责人、各专业技术负责人和重要岗位负责人），或委托人认为在现场工作不合格的人员，而且上述人员未经委托人同意不得重新从事本工程工作。任何从本工程撤掉的上述人员应尽快代之以称职的并经委托人批准的人员至委托人满意为止。</w:t>
            </w:r>
          </w:p>
          <w:p>
            <w:pPr>
              <w:pStyle w:val="11"/>
              <w:adjustRightInd w:val="0"/>
              <w:snapToGrid w:val="0"/>
              <w:spacing w:line="276" w:lineRule="auto"/>
              <w:ind w:left="0" w:leftChars="0"/>
              <w:rPr>
                <w:rFonts w:ascii="仿宋_GB2312" w:hAnsi="宋体" w:eastAsia="仿宋_GB2312"/>
                <w:b/>
                <w:spacing w:val="6"/>
                <w:kern w:val="11"/>
                <w:sz w:val="24"/>
              </w:rPr>
            </w:pPr>
            <w:r>
              <w:rPr>
                <w:rFonts w:hint="eastAsia" w:ascii="仿宋_GB2312" w:hAnsi="宋体" w:eastAsia="仿宋_GB2312"/>
                <w:b/>
                <w:spacing w:val="6"/>
                <w:kern w:val="11"/>
                <w:sz w:val="24"/>
              </w:rPr>
              <w:t>16.委托人的违约责任</w:t>
            </w:r>
          </w:p>
          <w:p>
            <w:pPr>
              <w:pStyle w:val="11"/>
              <w:adjustRightInd w:val="0"/>
              <w:snapToGrid w:val="0"/>
              <w:spacing w:line="276" w:lineRule="auto"/>
              <w:ind w:left="0" w:leftChars="0" w:firstLine="444"/>
              <w:rPr>
                <w:rFonts w:ascii="仿宋_GB2312" w:hAnsi="宋体" w:eastAsia="仿宋_GB2312"/>
                <w:spacing w:val="6"/>
                <w:kern w:val="11"/>
                <w:sz w:val="24"/>
              </w:rPr>
            </w:pPr>
            <w:r>
              <w:rPr>
                <w:rFonts w:hint="eastAsia" w:ascii="仿宋_GB2312" w:hAnsi="宋体" w:eastAsia="仿宋_GB2312"/>
                <w:spacing w:val="6"/>
                <w:kern w:val="11"/>
                <w:sz w:val="24"/>
              </w:rPr>
              <w:t>若因国家、省、市政策性原因或涉外因素等（包括但不限于）导致工程停工（含个别项目取消建设）并终止合同时，委托人应支付工程咨询单位到终止合同当月（含当月）所有应付给工程咨询单位的相应费用，具体由双方依据已完成的阶段任务协商解决，办理结算，工程咨询单位不得进行索赔。</w:t>
            </w:r>
          </w:p>
          <w:p>
            <w:pPr>
              <w:pStyle w:val="11"/>
              <w:adjustRightInd w:val="0"/>
              <w:snapToGrid w:val="0"/>
              <w:spacing w:line="276" w:lineRule="auto"/>
              <w:ind w:left="0" w:leftChars="0"/>
              <w:rPr>
                <w:rFonts w:ascii="仿宋_GB2312" w:hAnsi="宋体" w:eastAsia="仿宋_GB2312"/>
                <w:b/>
                <w:spacing w:val="6"/>
                <w:kern w:val="11"/>
                <w:sz w:val="24"/>
              </w:rPr>
            </w:pPr>
            <w:r>
              <w:rPr>
                <w:rFonts w:hint="eastAsia" w:ascii="仿宋_GB2312" w:hAnsi="宋体" w:eastAsia="仿宋_GB2312"/>
                <w:b/>
                <w:spacing w:val="6"/>
                <w:kern w:val="11"/>
                <w:sz w:val="24"/>
              </w:rPr>
              <w:t>17.除外责任</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非因工程咨询单位的原因，且工程咨询单位无过错或过失，发生工程质量事故、安全事故、工期延误等造成的损失，工程咨询单位不承担赔偿责任。</w:t>
            </w:r>
          </w:p>
          <w:p>
            <w:pPr>
              <w:pStyle w:val="11"/>
              <w:adjustRightInd w:val="0"/>
              <w:snapToGrid w:val="0"/>
              <w:spacing w:line="276" w:lineRule="auto"/>
              <w:ind w:left="0" w:leftChars="0" w:firstLine="529" w:firstLineChars="210"/>
              <w:rPr>
                <w:rFonts w:ascii="宋体" w:hAnsi="宋体"/>
                <w:spacing w:val="6"/>
                <w:kern w:val="11"/>
                <w:szCs w:val="21"/>
              </w:rPr>
            </w:pPr>
            <w:r>
              <w:rPr>
                <w:rFonts w:hint="eastAsia" w:ascii="仿宋_GB2312" w:hAnsi="宋体" w:eastAsia="仿宋_GB2312"/>
                <w:spacing w:val="6"/>
                <w:kern w:val="11"/>
                <w:sz w:val="24"/>
              </w:rPr>
              <w:t>因不可抗力导致本合同全部或部分不能履行时，双方各自承担因此而造成的损失、损害。</w:t>
            </w:r>
            <w:bookmarkStart w:id="62" w:name="_Toc5104"/>
            <w:bookmarkStart w:id="63" w:name="_Toc31766"/>
            <w:bookmarkStart w:id="64" w:name="_Toc1857"/>
          </w:p>
          <w:bookmarkEnd w:id="62"/>
          <w:bookmarkEnd w:id="63"/>
          <w:bookmarkEnd w:id="64"/>
          <w:p>
            <w:pPr>
              <w:pStyle w:val="11"/>
              <w:adjustRightInd w:val="0"/>
              <w:snapToGrid w:val="0"/>
              <w:spacing w:line="360" w:lineRule="auto"/>
              <w:ind w:left="0" w:leftChars="0"/>
              <w:jc w:val="center"/>
              <w:rPr>
                <w:b/>
                <w:bCs/>
                <w:sz w:val="44"/>
                <w:szCs w:val="44"/>
              </w:rPr>
            </w:pPr>
            <w:r>
              <w:rPr>
                <w:rFonts w:hint="eastAsia"/>
                <w:b/>
                <w:bCs/>
                <w:sz w:val="44"/>
                <w:szCs w:val="44"/>
              </w:rPr>
              <w:t>七、合同的变更</w:t>
            </w:r>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18.协商变更</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任何一方提出变更请求时，双方经协商一致后可进行变更。</w:t>
            </w:r>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19.服务时间的延长或缩短</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工程咨询时间应根据工程进度的实际情况予以延长或缩短，但工程咨询费用不随工程咨询时间的延长或缩短而增加或减少。</w:t>
            </w:r>
          </w:p>
          <w:p>
            <w:pPr>
              <w:pStyle w:val="6"/>
              <w:widowControl/>
              <w:numPr>
                <w:ilvl w:val="5"/>
                <w:numId w:val="0"/>
              </w:numPr>
              <w:tabs>
                <w:tab w:val="left" w:pos="1152"/>
              </w:tabs>
              <w:spacing w:after="60" w:line="360" w:lineRule="auto"/>
              <w:jc w:val="left"/>
              <w:rPr>
                <w:rFonts w:ascii="仿宋_GB2312" w:hAnsi="宋体" w:eastAsia="仿宋_GB2312"/>
                <w:b/>
                <w:sz w:val="24"/>
                <w:szCs w:val="24"/>
              </w:rPr>
            </w:pPr>
            <w:r>
              <w:rPr>
                <w:rFonts w:hint="eastAsia" w:ascii="仿宋_GB2312" w:hAnsi="宋体" w:eastAsia="仿宋_GB2312"/>
                <w:sz w:val="24"/>
                <w:szCs w:val="24"/>
              </w:rPr>
              <w:t xml:space="preserve"> </w:t>
            </w:r>
            <w:r>
              <w:rPr>
                <w:rFonts w:hint="eastAsia" w:ascii="仿宋_GB2312" w:hAnsi="宋体" w:eastAsia="仿宋_GB2312"/>
                <w:b/>
                <w:sz w:val="24"/>
                <w:szCs w:val="24"/>
              </w:rPr>
              <w:t>20.物价上涨和法规变更</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在工程咨询期限内，因法律、行政法规、国家法令、地方政府的政策规章发生变化，物价上涨或通货膨胀而引起工程咨询单位费用增加，在服务期内工程咨询费用将不予调整。</w:t>
            </w:r>
            <w:bookmarkStart w:id="65" w:name="_Toc22759"/>
            <w:bookmarkStart w:id="66" w:name="_Toc14357"/>
            <w:bookmarkStart w:id="67" w:name="_Toc397"/>
          </w:p>
          <w:p>
            <w:pPr>
              <w:pStyle w:val="11"/>
              <w:adjustRightInd w:val="0"/>
              <w:snapToGrid w:val="0"/>
              <w:spacing w:line="360" w:lineRule="auto"/>
              <w:ind w:left="0" w:leftChars="0"/>
              <w:jc w:val="center"/>
              <w:rPr>
                <w:b/>
                <w:bCs/>
                <w:sz w:val="44"/>
                <w:szCs w:val="44"/>
              </w:rPr>
            </w:pPr>
            <w:r>
              <w:rPr>
                <w:rFonts w:hint="eastAsia"/>
                <w:b/>
                <w:bCs/>
                <w:sz w:val="44"/>
                <w:szCs w:val="44"/>
              </w:rPr>
              <w:t>八、合同的转让与分包</w:t>
            </w:r>
            <w:bookmarkEnd w:id="65"/>
            <w:bookmarkEnd w:id="66"/>
            <w:bookmarkEnd w:id="67"/>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21.合同的转让</w:t>
            </w:r>
          </w:p>
          <w:p>
            <w:pPr>
              <w:pStyle w:val="9"/>
              <w:spacing w:line="276" w:lineRule="auto"/>
              <w:ind w:left="0" w:leftChars="0" w:firstLine="444"/>
              <w:rPr>
                <w:rFonts w:ascii="仿宋_GB2312" w:eastAsia="仿宋_GB2312"/>
                <w:sz w:val="24"/>
              </w:rPr>
            </w:pPr>
            <w:r>
              <w:rPr>
                <w:rFonts w:hint="eastAsia" w:ascii="仿宋_GB2312" w:hAnsi="宋体" w:eastAsia="仿宋_GB2312"/>
                <w:spacing w:val="6"/>
                <w:kern w:val="11"/>
                <w:sz w:val="24"/>
              </w:rPr>
              <w:t>工程咨询单位</w:t>
            </w:r>
            <w:r>
              <w:rPr>
                <w:rFonts w:hint="eastAsia" w:ascii="仿宋_GB2312" w:eastAsia="仿宋_GB2312"/>
                <w:sz w:val="24"/>
              </w:rPr>
              <w:t>不得将本合同内的任何</w:t>
            </w:r>
            <w:r>
              <w:rPr>
                <w:rFonts w:hint="eastAsia" w:ascii="仿宋_GB2312" w:hAnsi="宋体" w:eastAsia="仿宋_GB2312"/>
                <w:sz w:val="24"/>
              </w:rPr>
              <w:t>项目策划与项目管理</w:t>
            </w:r>
            <w:r>
              <w:rPr>
                <w:rFonts w:hint="eastAsia" w:ascii="仿宋_GB2312" w:eastAsia="仿宋_GB2312"/>
                <w:sz w:val="24"/>
              </w:rPr>
              <w:t>工作予以转让，否则将视为</w:t>
            </w:r>
            <w:r>
              <w:rPr>
                <w:rFonts w:hint="eastAsia" w:ascii="仿宋_GB2312" w:hAnsi="宋体" w:eastAsia="仿宋_GB2312"/>
                <w:spacing w:val="6"/>
                <w:kern w:val="11"/>
                <w:sz w:val="24"/>
              </w:rPr>
              <w:t>工程咨询单位</w:t>
            </w:r>
            <w:r>
              <w:rPr>
                <w:rFonts w:hint="eastAsia" w:ascii="仿宋_GB2312" w:eastAsia="仿宋_GB2312"/>
                <w:sz w:val="24"/>
              </w:rPr>
              <w:t>违约，部分或全部没收其履约保证金。</w:t>
            </w:r>
          </w:p>
          <w:p>
            <w:pPr>
              <w:pStyle w:val="6"/>
              <w:widowControl/>
              <w:numPr>
                <w:ilvl w:val="5"/>
                <w:numId w:val="0"/>
              </w:numPr>
              <w:tabs>
                <w:tab w:val="left" w:pos="1152"/>
              </w:tabs>
              <w:spacing w:after="60" w:line="276"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22.合同的分包</w:t>
            </w:r>
          </w:p>
          <w:p>
            <w:pPr>
              <w:pStyle w:val="11"/>
              <w:adjustRightInd w:val="0"/>
              <w:snapToGrid w:val="0"/>
              <w:spacing w:line="276" w:lineRule="auto"/>
              <w:ind w:left="0" w:leftChars="0" w:firstLine="529" w:firstLineChars="210"/>
              <w:rPr>
                <w:rFonts w:ascii="仿宋_GB2312" w:hAnsi="宋体" w:eastAsia="仿宋_GB2312"/>
                <w:spacing w:val="6"/>
                <w:kern w:val="11"/>
                <w:sz w:val="24"/>
              </w:rPr>
            </w:pPr>
            <w:r>
              <w:rPr>
                <w:rFonts w:hint="eastAsia" w:ascii="仿宋_GB2312" w:hAnsi="宋体" w:eastAsia="仿宋_GB2312"/>
                <w:spacing w:val="6"/>
                <w:kern w:val="11"/>
                <w:sz w:val="24"/>
              </w:rPr>
              <w:t>22.1工程咨询单位不得将本合同的监理工作予以分包。监理工程师因监理工作需要而聘请劳务人员和技术人员时的情况不在此列。</w:t>
            </w:r>
          </w:p>
          <w:p>
            <w:pPr>
              <w:pStyle w:val="11"/>
              <w:adjustRightInd w:val="0"/>
              <w:snapToGrid w:val="0"/>
              <w:spacing w:line="276" w:lineRule="auto"/>
              <w:ind w:left="0" w:leftChars="0" w:firstLine="529" w:firstLineChars="210"/>
              <w:rPr>
                <w:rFonts w:ascii="宋体" w:hAnsi="宋体"/>
                <w:spacing w:val="6"/>
                <w:kern w:val="11"/>
                <w:szCs w:val="21"/>
              </w:rPr>
            </w:pPr>
            <w:r>
              <w:rPr>
                <w:rFonts w:hint="eastAsia" w:ascii="仿宋_GB2312" w:hAnsi="宋体" w:eastAsia="仿宋_GB2312"/>
                <w:spacing w:val="6"/>
                <w:kern w:val="11"/>
                <w:sz w:val="24"/>
              </w:rPr>
              <w:t>22.2工程咨询单位可将本项目中专业性强的技术咨询业务或不擅长领域的业务范围进行分包或聘请专业技术团队（包括委托人认为工程咨询单位不具备咨询能力需要分包或聘请专业技术团队的），例如但不限于工艺需求管理、科研实验室工艺需求管理和科研实验室工艺设计咨询管理、BIM管理、工业化建筑咨询管理、地下综合管廊及海绵城市咨询管理等工作，分包或聘请专业技术团队须报委托人批准认可后方可实施。</w:t>
            </w:r>
            <w:bookmarkStart w:id="68" w:name="_Toc23593"/>
            <w:bookmarkStart w:id="69" w:name="_Toc3122"/>
            <w:bookmarkStart w:id="70" w:name="_Toc14284"/>
          </w:p>
          <w:p>
            <w:pPr>
              <w:pStyle w:val="11"/>
              <w:adjustRightInd w:val="0"/>
              <w:snapToGrid w:val="0"/>
              <w:spacing w:line="360" w:lineRule="auto"/>
              <w:ind w:left="0" w:leftChars="0"/>
              <w:jc w:val="center"/>
              <w:rPr>
                <w:b/>
                <w:bCs/>
                <w:sz w:val="44"/>
                <w:szCs w:val="44"/>
              </w:rPr>
            </w:pPr>
            <w:r>
              <w:rPr>
                <w:rFonts w:hint="eastAsia"/>
                <w:b/>
                <w:bCs/>
                <w:sz w:val="44"/>
                <w:szCs w:val="44"/>
              </w:rPr>
              <w:t>九、合同的解除、终止</w:t>
            </w:r>
            <w:bookmarkEnd w:id="68"/>
            <w:bookmarkEnd w:id="69"/>
            <w:bookmarkEnd w:id="70"/>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23.委托人的通知</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bCs/>
                <w:sz w:val="24"/>
              </w:rPr>
              <w:t xml:space="preserve">    如果工程咨询单位不履行本合同条款规定的义务，或者严重违反第二篇第5、6款（咨询工作一般要求、廉政守则）的规定，无视职业道德，经委托人向工程咨询单位发出书面警告后仍不予以改正，则委托人有权在书面通知工程咨询单位21天后，解除本工程咨询合同，并不再支付任何工程咨询费用</w:t>
            </w:r>
            <w:r>
              <w:rPr>
                <w:rFonts w:hint="eastAsia" w:ascii="仿宋_GB2312" w:hAnsi="宋体" w:eastAsia="仿宋_GB2312"/>
                <w:sz w:val="24"/>
              </w:rPr>
              <w:t>。</w:t>
            </w:r>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24.工程咨询单位的通知</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如果委托人不履行合同中规定的义务，或者在应付款期限届满后56日内不能正常付款（财政部门原因除外），或因非不可抗力原因（政策、政府行为等原因除外）致使项目无法继续实施时，则工程咨询单位书面通知委托人14日后有权终止本工程咨询合同。委托人此时应支付工程咨询单位当月的工程咨询费用。</w:t>
            </w:r>
          </w:p>
          <w:p>
            <w:pPr>
              <w:pStyle w:val="6"/>
              <w:widowControl/>
              <w:numPr>
                <w:ilvl w:val="5"/>
                <w:numId w:val="0"/>
              </w:numPr>
              <w:tabs>
                <w:tab w:val="left" w:pos="1152"/>
              </w:tabs>
              <w:spacing w:after="60" w:line="360" w:lineRule="auto"/>
              <w:jc w:val="left"/>
              <w:rPr>
                <w:rFonts w:ascii="仿宋_GB2312" w:hAnsi="宋体" w:eastAsia="仿宋_GB2312"/>
                <w:b/>
                <w:sz w:val="24"/>
                <w:szCs w:val="24"/>
              </w:rPr>
            </w:pPr>
            <w:r>
              <w:rPr>
                <w:rFonts w:hint="eastAsia" w:ascii="仿宋_GB2312" w:hAnsi="宋体" w:eastAsia="仿宋_GB2312"/>
                <w:b/>
                <w:sz w:val="24"/>
                <w:szCs w:val="24"/>
              </w:rPr>
              <w:t xml:space="preserve">    25.暂停服务</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在本合同有效期内，因非工程咨询单位的原因导致项目实施进度全部或部分暂停，委托人可通知工程咨询单位要求暂停全部或部分工作。工程咨询单位应立即安排停止工作，并将开支减至最小，期间费用由工程咨询单位自行承担，并不得向委托人进行索赔。</w:t>
            </w:r>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26.协商解除</w:t>
            </w:r>
          </w:p>
          <w:p>
            <w:pPr>
              <w:pStyle w:val="11"/>
              <w:adjustRightInd w:val="0"/>
              <w:snapToGrid w:val="0"/>
              <w:spacing w:line="360" w:lineRule="auto"/>
              <w:ind w:left="0" w:leftChars="0" w:firstLine="480" w:firstLineChars="200"/>
              <w:rPr>
                <w:rFonts w:ascii="仿宋_GB2312" w:hAnsi="宋体" w:eastAsia="仿宋_GB2312"/>
                <w:sz w:val="24"/>
              </w:rPr>
            </w:pPr>
            <w:r>
              <w:rPr>
                <w:rFonts w:hint="eastAsia" w:ascii="仿宋_GB2312" w:hAnsi="宋体" w:eastAsia="仿宋_GB2312"/>
                <w:sz w:val="24"/>
              </w:rPr>
              <w:t>在本合同有效期内，由于双方无法预见和控制的原因导致本合同全部或部分无法继续履行或继续履行已无意义，经双方协商一致，可以解除本合同或工程咨询单位的部分义务。在解除之前，工程咨询单位应作出合理安排，使开支减至最小，期间费用由工程咨询单位自行承担，并不得向委托人进行索赔。</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协商解除合同时，</w:t>
            </w:r>
            <w:r>
              <w:rPr>
                <w:rFonts w:hint="eastAsia" w:ascii="仿宋_GB2312" w:hAnsi="宋体" w:eastAsia="仿宋_GB2312"/>
                <w:spacing w:val="6"/>
                <w:kern w:val="11"/>
                <w:sz w:val="24"/>
              </w:rPr>
              <w:t>委托人应支付工程咨询单位到终止合同当月（含当月）所有应付给工程咨询单位的全部咨询费，工程咨询单位不得进行索赔。</w:t>
            </w:r>
          </w:p>
          <w:p>
            <w:pPr>
              <w:pStyle w:val="11"/>
              <w:adjustRightInd w:val="0"/>
              <w:snapToGrid w:val="0"/>
              <w:spacing w:line="360" w:lineRule="auto"/>
              <w:ind w:left="0" w:leftChars="0" w:firstLine="480" w:firstLineChars="200"/>
              <w:rPr>
                <w:rFonts w:ascii="仿宋_GB2312" w:hAnsi="宋体" w:eastAsia="仿宋_GB2312"/>
                <w:sz w:val="24"/>
              </w:rPr>
            </w:pPr>
            <w:r>
              <w:rPr>
                <w:rFonts w:hint="eastAsia" w:ascii="仿宋_GB2312" w:hAnsi="宋体" w:eastAsia="仿宋_GB2312"/>
                <w:sz w:val="24"/>
              </w:rPr>
              <w:t>解除本合同的协议必须采取书面形式，协议未达成之前，本合同仍然有效。</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合同解除后，合同约定的有关结算、清理、争议解决方式的条件仍然有效。</w:t>
            </w:r>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27.不可抗力事件的影响</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如果因为不可抗力原因使本合同无法继续履行时，任何一方书面通知对方14天后有权终止本合同。合同终止时委托人应支付工程咨询单位当月的工程咨询费用；终止后各自的损失由各自负责。</w:t>
            </w:r>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 xml:space="preserve"> 28.合同终止</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以下条件全部满足时，本合同即告终止：</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（1）工程咨询单位完成本合同约定的全部工作；</w:t>
            </w:r>
          </w:p>
          <w:p>
            <w:pPr>
              <w:pStyle w:val="11"/>
              <w:adjustRightInd w:val="0"/>
              <w:snapToGrid w:val="0"/>
              <w:spacing w:line="360" w:lineRule="auto"/>
              <w:ind w:left="0" w:leftChars="0" w:firstLine="504" w:firstLineChars="210"/>
              <w:rPr>
                <w:rFonts w:hint="eastAsia" w:ascii="仿宋_GB2312" w:hAnsi="宋体" w:eastAsia="仿宋_GB2312"/>
                <w:sz w:val="24"/>
              </w:rPr>
            </w:pPr>
            <w:r>
              <w:rPr>
                <w:rFonts w:hint="eastAsia" w:ascii="仿宋_GB2312" w:hAnsi="宋体" w:eastAsia="仿宋_GB2312"/>
                <w:sz w:val="24"/>
              </w:rPr>
              <w:t>（2）委托人与工程咨询单位结清并支付全部费用。</w:t>
            </w:r>
          </w:p>
          <w:p>
            <w:pPr>
              <w:pStyle w:val="11"/>
              <w:adjustRightInd w:val="0"/>
              <w:snapToGrid w:val="0"/>
              <w:spacing w:line="360" w:lineRule="auto"/>
              <w:ind w:left="0" w:leftChars="0" w:firstLine="2248" w:firstLineChars="509"/>
              <w:rPr>
                <w:b/>
                <w:bCs/>
                <w:sz w:val="44"/>
                <w:szCs w:val="44"/>
              </w:rPr>
            </w:pPr>
            <w:r>
              <w:rPr>
                <w:rFonts w:hint="eastAsia"/>
                <w:b/>
                <w:bCs/>
                <w:sz w:val="44"/>
                <w:szCs w:val="44"/>
              </w:rPr>
              <w:t>十、合同保障</w:t>
            </w:r>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29.工程咨询单位的保险</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工程咨询单位应在整个合同期限内为其雇员（含向委托人提供的工作人员）购买人身及财产安全有关保险，保险时间随服务时间的延长而顺延，如果工程咨询单位未能办理此项保险，由此造成的损失由其自行负责。</w:t>
            </w:r>
            <w:bookmarkStart w:id="71" w:name="_Toc3620"/>
            <w:bookmarkStart w:id="72" w:name="_Toc21593"/>
            <w:bookmarkStart w:id="73" w:name="_Toc18916"/>
          </w:p>
          <w:p>
            <w:pPr>
              <w:pStyle w:val="11"/>
              <w:adjustRightInd w:val="0"/>
              <w:snapToGrid w:val="0"/>
              <w:spacing w:line="360" w:lineRule="auto"/>
              <w:ind w:left="0" w:leftChars="0"/>
              <w:jc w:val="center"/>
              <w:rPr>
                <w:b/>
                <w:bCs/>
                <w:sz w:val="44"/>
                <w:szCs w:val="44"/>
              </w:rPr>
            </w:pPr>
            <w:r>
              <w:rPr>
                <w:rFonts w:hint="eastAsia"/>
                <w:b/>
                <w:bCs/>
                <w:sz w:val="44"/>
                <w:szCs w:val="44"/>
              </w:rPr>
              <w:t>十一、仲裁</w:t>
            </w:r>
            <w:bookmarkEnd w:id="71"/>
            <w:bookmarkEnd w:id="72"/>
            <w:bookmarkEnd w:id="73"/>
            <w:r>
              <w:rPr>
                <w:rFonts w:hint="eastAsia"/>
                <w:b/>
                <w:bCs/>
                <w:sz w:val="44"/>
                <w:szCs w:val="44"/>
              </w:rPr>
              <w:t>或诉讼</w:t>
            </w:r>
          </w:p>
          <w:p>
            <w:pPr>
              <w:pStyle w:val="6"/>
              <w:widowControl/>
              <w:numPr>
                <w:ilvl w:val="5"/>
                <w:numId w:val="0"/>
              </w:numPr>
              <w:tabs>
                <w:tab w:val="left" w:pos="1152"/>
              </w:tabs>
              <w:spacing w:after="60" w:line="360" w:lineRule="auto"/>
              <w:ind w:left="-432" w:firstLine="964" w:firstLineChars="400"/>
              <w:jc w:val="left"/>
              <w:rPr>
                <w:rFonts w:ascii="仿宋_GB2312" w:hAnsi="宋体" w:eastAsia="仿宋_GB2312"/>
                <w:b/>
                <w:sz w:val="24"/>
                <w:szCs w:val="24"/>
              </w:rPr>
            </w:pPr>
            <w:r>
              <w:rPr>
                <w:rFonts w:hint="eastAsia" w:ascii="仿宋_GB2312" w:hAnsi="宋体" w:eastAsia="仿宋_GB2312"/>
                <w:b/>
                <w:sz w:val="24"/>
                <w:szCs w:val="24"/>
              </w:rPr>
              <w:t>30.仲裁或诉讼</w:t>
            </w:r>
          </w:p>
          <w:p>
            <w:pPr>
              <w:pStyle w:val="11"/>
              <w:adjustRightInd w:val="0"/>
              <w:snapToGrid w:val="0"/>
              <w:spacing w:line="360" w:lineRule="auto"/>
              <w:ind w:left="0" w:leftChars="0"/>
              <w:rPr>
                <w:rFonts w:ascii="仿宋_GB2312" w:hAnsi="宋体" w:eastAsia="仿宋_GB2312"/>
                <w:sz w:val="24"/>
              </w:rPr>
            </w:pPr>
            <w:r>
              <w:rPr>
                <w:rFonts w:hint="eastAsia" w:ascii="仿宋_GB2312" w:hAnsi="宋体" w:eastAsia="仿宋_GB2312"/>
                <w:sz w:val="24"/>
              </w:rPr>
              <w:t xml:space="preserve">    委托人和工程咨询单位在履行本合同双方对有关问题发生争端时，双方应本着友好协商的态度予以解决，或通过上级部门调解来解决，当协商或调解无法达成协议时，</w:t>
            </w:r>
            <w:r>
              <w:rPr>
                <w:rFonts w:hint="eastAsia" w:ascii="仿宋_GB2312" w:hAnsi="宋体" w:eastAsia="仿宋_GB2312"/>
                <w:spacing w:val="2"/>
                <w:sz w:val="24"/>
              </w:rPr>
              <w:t>任一方可</w:t>
            </w:r>
            <w:r>
              <w:rPr>
                <w:rFonts w:hint="eastAsia" w:ascii="仿宋_GB2312" w:hAnsi="宋体" w:eastAsia="仿宋_GB2312"/>
                <w:sz w:val="24"/>
              </w:rPr>
              <w:t>向项目所在地人民法院起诉。</w:t>
            </w:r>
            <w:bookmarkStart w:id="74" w:name="_Toc18908"/>
            <w:bookmarkStart w:id="75" w:name="_Toc19066"/>
            <w:bookmarkStart w:id="76" w:name="_Toc24893"/>
          </w:p>
          <w:p>
            <w:pPr>
              <w:pStyle w:val="11"/>
              <w:adjustRightInd w:val="0"/>
              <w:snapToGrid w:val="0"/>
              <w:spacing w:line="360" w:lineRule="auto"/>
              <w:ind w:left="0" w:leftChars="0"/>
              <w:jc w:val="center"/>
              <w:rPr>
                <w:b/>
                <w:bCs/>
                <w:sz w:val="44"/>
                <w:szCs w:val="44"/>
              </w:rPr>
            </w:pPr>
            <w:r>
              <w:rPr>
                <w:rFonts w:hint="eastAsia"/>
                <w:b/>
                <w:bCs/>
                <w:sz w:val="44"/>
                <w:szCs w:val="44"/>
              </w:rPr>
              <w:t>十二、其他</w:t>
            </w:r>
            <w:bookmarkEnd w:id="74"/>
            <w:bookmarkEnd w:id="75"/>
            <w:bookmarkEnd w:id="76"/>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31.临时设施费用</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投标人的办公用房由投标人自行考虑，费用包含在投标报价中，委托人不另行支付。</w:t>
            </w:r>
          </w:p>
          <w:p>
            <w:pPr>
              <w:pStyle w:val="6"/>
              <w:widowControl/>
              <w:numPr>
                <w:ilvl w:val="5"/>
                <w:numId w:val="0"/>
              </w:numPr>
              <w:tabs>
                <w:tab w:val="left" w:pos="1152"/>
              </w:tabs>
              <w:spacing w:after="60" w:line="360" w:lineRule="auto"/>
              <w:ind w:left="-432" w:firstLine="723" w:firstLineChars="300"/>
              <w:jc w:val="left"/>
              <w:rPr>
                <w:rFonts w:ascii="仿宋_GB2312" w:hAnsi="宋体" w:eastAsia="仿宋_GB2312"/>
                <w:b/>
                <w:sz w:val="24"/>
                <w:szCs w:val="24"/>
              </w:rPr>
            </w:pPr>
            <w:r>
              <w:rPr>
                <w:rFonts w:hint="eastAsia" w:ascii="仿宋_GB2312" w:hAnsi="宋体" w:eastAsia="仿宋_GB2312"/>
                <w:b/>
                <w:sz w:val="24"/>
                <w:szCs w:val="24"/>
              </w:rPr>
              <w:t xml:space="preserve"> 32.外出考察费用</w:t>
            </w:r>
          </w:p>
          <w:p>
            <w:pPr>
              <w:pStyle w:val="11"/>
              <w:adjustRightInd w:val="0"/>
              <w:snapToGrid w:val="0"/>
              <w:spacing w:line="360" w:lineRule="auto"/>
              <w:ind w:left="0" w:leftChars="0" w:firstLine="504" w:firstLineChars="210"/>
              <w:rPr>
                <w:rFonts w:ascii="仿宋_GB2312" w:hAnsi="宋体" w:eastAsia="仿宋_GB2312"/>
                <w:sz w:val="24"/>
              </w:rPr>
            </w:pPr>
            <w:r>
              <w:rPr>
                <w:rFonts w:hint="eastAsia" w:ascii="仿宋_GB2312" w:hAnsi="宋体" w:eastAsia="仿宋_GB2312"/>
                <w:sz w:val="24"/>
              </w:rPr>
              <w:t>工程需要外出考察发生的费用由工程咨询单位支付。</w:t>
            </w:r>
          </w:p>
          <w:p>
            <w:pPr>
              <w:pStyle w:val="6"/>
              <w:widowControl/>
              <w:numPr>
                <w:ilvl w:val="5"/>
                <w:numId w:val="0"/>
              </w:numPr>
              <w:tabs>
                <w:tab w:val="left" w:pos="1152"/>
              </w:tabs>
              <w:spacing w:after="60" w:line="360" w:lineRule="auto"/>
              <w:ind w:firstLine="482" w:firstLineChars="200"/>
              <w:jc w:val="left"/>
              <w:rPr>
                <w:rFonts w:ascii="仿宋_GB2312" w:hAnsi="宋体" w:eastAsia="仿宋_GB2312"/>
                <w:b/>
                <w:sz w:val="24"/>
                <w:szCs w:val="24"/>
              </w:rPr>
            </w:pPr>
            <w:r>
              <w:rPr>
                <w:rFonts w:hint="eastAsia" w:ascii="仿宋_GB2312" w:hAnsi="宋体" w:eastAsia="仿宋_GB2312"/>
                <w:b/>
                <w:sz w:val="24"/>
                <w:szCs w:val="24"/>
              </w:rPr>
              <w:t xml:space="preserve"> 33.其他费用</w:t>
            </w:r>
          </w:p>
          <w:p>
            <w:pPr>
              <w:pStyle w:val="11"/>
              <w:adjustRightInd w:val="0"/>
              <w:snapToGrid w:val="0"/>
              <w:spacing w:line="360" w:lineRule="auto"/>
              <w:ind w:left="0" w:leftChars="0" w:firstLine="480"/>
              <w:rPr>
                <w:rFonts w:ascii="仿宋_GB2312" w:hAnsi="宋体" w:eastAsia="仿宋_GB2312"/>
                <w:sz w:val="24"/>
              </w:rPr>
            </w:pPr>
            <w:r>
              <w:rPr>
                <w:rFonts w:hint="eastAsia" w:ascii="仿宋_GB2312" w:hAnsi="宋体" w:eastAsia="仿宋_GB2312"/>
                <w:sz w:val="24"/>
              </w:rPr>
              <w:t xml:space="preserve">根据工程需要由工程咨询单位组织的相关咨询论证会以及聘请相关专家等发生的费用（会议、食宿、交通、专家顾问费等）由工程咨询单位支付。  </w:t>
            </w:r>
          </w:p>
          <w:p>
            <w:pPr>
              <w:pStyle w:val="6"/>
              <w:widowControl/>
              <w:numPr>
                <w:ilvl w:val="5"/>
                <w:numId w:val="0"/>
              </w:numPr>
              <w:tabs>
                <w:tab w:val="left" w:pos="1152"/>
              </w:tabs>
              <w:spacing w:after="60" w:line="360" w:lineRule="auto"/>
              <w:ind w:firstLine="240" w:firstLineChars="100"/>
              <w:jc w:val="left"/>
              <w:rPr>
                <w:rFonts w:hint="eastAsia" w:ascii="仿宋_GB2312" w:hAnsi="宋体" w:eastAsia="仿宋_GB2312"/>
                <w:b/>
                <w:sz w:val="24"/>
                <w:szCs w:val="24"/>
              </w:rPr>
            </w:pPr>
            <w:r>
              <w:rPr>
                <w:rFonts w:hint="eastAsia" w:ascii="仿宋_GB2312" w:hAnsi="宋体" w:eastAsia="仿宋_GB2312"/>
                <w:sz w:val="24"/>
                <w:szCs w:val="24"/>
              </w:rPr>
              <w:t xml:space="preserve">  </w:t>
            </w:r>
            <w:r>
              <w:rPr>
                <w:rFonts w:hint="eastAsia" w:ascii="仿宋_GB2312" w:hAnsi="宋体" w:eastAsia="仿宋_GB2312"/>
                <w:b/>
                <w:sz w:val="24"/>
                <w:szCs w:val="24"/>
              </w:rPr>
              <w:t>34.履约评价</w:t>
            </w:r>
          </w:p>
          <w:p>
            <w:pPr>
              <w:pStyle w:val="6"/>
              <w:widowControl/>
              <w:numPr>
                <w:ilvl w:val="5"/>
                <w:numId w:val="0"/>
              </w:numPr>
              <w:tabs>
                <w:tab w:val="left" w:pos="1152"/>
              </w:tabs>
              <w:spacing w:after="60" w:line="360" w:lineRule="auto"/>
              <w:ind w:firstLine="482" w:firstLineChars="200"/>
              <w:jc w:val="left"/>
              <w:rPr>
                <w:rFonts w:hint="eastAsia" w:ascii="仿宋_GB2312" w:hAnsi="宋体" w:eastAsia="仿宋_GB2312"/>
                <w:sz w:val="24"/>
                <w:szCs w:val="24"/>
              </w:rPr>
            </w:pPr>
            <w:r>
              <w:rPr>
                <w:rFonts w:hint="eastAsia" w:ascii="仿宋_GB2312" w:hAnsi="宋体" w:eastAsia="仿宋_GB2312"/>
                <w:b/>
                <w:sz w:val="24"/>
                <w:szCs w:val="24"/>
              </w:rPr>
              <w:t>34.1</w:t>
            </w:r>
            <w:r>
              <w:rPr>
                <w:rFonts w:hint="eastAsia" w:ascii="仿宋_GB2312" w:hAnsi="宋体" w:eastAsia="仿宋_GB2312"/>
                <w:sz w:val="24"/>
                <w:szCs w:val="24"/>
              </w:rPr>
              <w:t>委托人将在建设项目实施过程中，对工程咨询单位及其工程咨询机构的履约情况进行综合评价，必要时委托人也可对工程咨询机构的工程咨询单位人员进行定性评价。委托人会将项目组织机构的履约评价及工程咨询单位人员的定性评价结果书面通知工程咨询单位。委托人也可视情况需要在其门户网站或相关媒体上公布工程咨询单位的履约评价结果。</w:t>
            </w:r>
          </w:p>
          <w:p>
            <w:pPr>
              <w:adjustRightInd w:val="0"/>
              <w:snapToGrid w:val="0"/>
              <w:spacing w:line="360" w:lineRule="auto"/>
              <w:outlineLvl w:val="0"/>
            </w:pPr>
          </w:p>
          <w:p>
            <w:pPr>
              <w:adjustRightInd w:val="0"/>
              <w:snapToGrid w:val="0"/>
              <w:spacing w:line="360" w:lineRule="auto"/>
              <w:ind w:firstLine="415" w:firstLineChars="198"/>
              <w:outlineLvl w:val="0"/>
            </w:pPr>
          </w:p>
          <w:p>
            <w:pPr>
              <w:rPr>
                <w:rFonts w:hint="eastAsia" w:ascii="仿宋" w:hAnsi="仿宋" w:eastAsia="仿宋" w:cs="仿宋"/>
              </w:rPr>
            </w:pPr>
          </w:p>
          <w:p>
            <w:pPr>
              <w:spacing w:line="360" w:lineRule="auto"/>
              <w:rPr>
                <w:rFonts w:hint="eastAsia" w:ascii="宋体" w:hAnsi="宋体"/>
                <w:kern w:val="18"/>
                <w:szCs w:val="21"/>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lvlText w:val=""/>
      <w:lvlJc w:val="left"/>
      <w:pPr>
        <w:tabs>
          <w:tab w:val="left" w:pos="2040"/>
        </w:tabs>
        <w:ind w:left="2040" w:hanging="360"/>
      </w:pPr>
      <w:rPr>
        <w:rFonts w:hint="default" w:ascii="Wingdings" w:hAnsi="Wingdings"/>
      </w:rPr>
    </w:lvl>
  </w:abstractNum>
  <w:abstractNum w:abstractNumId="1">
    <w:nsid w:val="00000006"/>
    <w:multiLevelType w:val="multilevel"/>
    <w:tmpl w:val="00000006"/>
    <w:lvl w:ilvl="0" w:tentative="0">
      <w:start w:val="1"/>
      <w:numFmt w:val="upperLetter"/>
      <w:pStyle w:val="5"/>
      <w:lvlText w:val="%1．"/>
      <w:lvlJc w:val="left"/>
      <w:pPr>
        <w:tabs>
          <w:tab w:val="left" w:pos="1495"/>
        </w:tabs>
        <w:ind w:left="1495" w:hanging="360"/>
      </w:pPr>
      <w:rPr>
        <w:rFonts w:hint="eastAsia"/>
      </w:rPr>
    </w:lvl>
    <w:lvl w:ilvl="1" w:tentative="0">
      <w:start w:val="1"/>
      <w:numFmt w:val="lowerLetter"/>
      <w:lvlText w:val="%2)"/>
      <w:lvlJc w:val="left"/>
      <w:pPr>
        <w:tabs>
          <w:tab w:val="left" w:pos="1975"/>
        </w:tabs>
        <w:ind w:left="1975" w:hanging="420"/>
      </w:pPr>
    </w:lvl>
    <w:lvl w:ilvl="2" w:tentative="0">
      <w:start w:val="1"/>
      <w:numFmt w:val="lowerRoman"/>
      <w:lvlText w:val="%3."/>
      <w:lvlJc w:val="right"/>
      <w:pPr>
        <w:tabs>
          <w:tab w:val="left" w:pos="2395"/>
        </w:tabs>
        <w:ind w:left="2395" w:hanging="420"/>
      </w:pPr>
    </w:lvl>
    <w:lvl w:ilvl="3" w:tentative="0">
      <w:start w:val="1"/>
      <w:numFmt w:val="decimal"/>
      <w:lvlText w:val="%4."/>
      <w:lvlJc w:val="left"/>
      <w:pPr>
        <w:tabs>
          <w:tab w:val="left" w:pos="2815"/>
        </w:tabs>
        <w:ind w:left="2815" w:hanging="420"/>
      </w:pPr>
    </w:lvl>
    <w:lvl w:ilvl="4" w:tentative="0">
      <w:start w:val="1"/>
      <w:numFmt w:val="lowerLetter"/>
      <w:lvlText w:val="%5)"/>
      <w:lvlJc w:val="left"/>
      <w:pPr>
        <w:tabs>
          <w:tab w:val="left" w:pos="3235"/>
        </w:tabs>
        <w:ind w:left="3235" w:hanging="420"/>
      </w:pPr>
    </w:lvl>
    <w:lvl w:ilvl="5" w:tentative="0">
      <w:start w:val="1"/>
      <w:numFmt w:val="lowerRoman"/>
      <w:lvlText w:val="%6."/>
      <w:lvlJc w:val="right"/>
      <w:pPr>
        <w:tabs>
          <w:tab w:val="left" w:pos="3655"/>
        </w:tabs>
        <w:ind w:left="3655" w:hanging="420"/>
      </w:pPr>
    </w:lvl>
    <w:lvl w:ilvl="6" w:tentative="0">
      <w:start w:val="1"/>
      <w:numFmt w:val="decimal"/>
      <w:lvlText w:val="%7."/>
      <w:lvlJc w:val="left"/>
      <w:pPr>
        <w:tabs>
          <w:tab w:val="left" w:pos="4075"/>
        </w:tabs>
        <w:ind w:left="4075" w:hanging="420"/>
      </w:pPr>
    </w:lvl>
    <w:lvl w:ilvl="7" w:tentative="0">
      <w:start w:val="1"/>
      <w:numFmt w:val="lowerLetter"/>
      <w:lvlText w:val="%8)"/>
      <w:lvlJc w:val="left"/>
      <w:pPr>
        <w:tabs>
          <w:tab w:val="left" w:pos="4495"/>
        </w:tabs>
        <w:ind w:left="4495" w:hanging="420"/>
      </w:pPr>
    </w:lvl>
    <w:lvl w:ilvl="8" w:tentative="0">
      <w:start w:val="1"/>
      <w:numFmt w:val="lowerRoman"/>
      <w:lvlText w:val="%9."/>
      <w:lvlJc w:val="right"/>
      <w:pPr>
        <w:tabs>
          <w:tab w:val="left" w:pos="4915"/>
        </w:tabs>
        <w:ind w:left="4915" w:hanging="420"/>
      </w:pPr>
    </w:lvl>
  </w:abstractNum>
  <w:abstractNum w:abstractNumId="2">
    <w:nsid w:val="0D2112E5"/>
    <w:multiLevelType w:val="singleLevel"/>
    <w:tmpl w:val="0D2112E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iZDc0OTNkNDIzODlkNWM0NjcwYWI4NjhjZjk4ZWYifQ=="/>
    <w:docVar w:name="KSO_WPS_MARK_KEY" w:val="4f6d1d97-4bea-487d-b5b7-823df82ae3fc"/>
  </w:docVars>
  <w:rsids>
    <w:rsidRoot w:val="00172A27"/>
    <w:rsid w:val="00050A1C"/>
    <w:rsid w:val="00095E46"/>
    <w:rsid w:val="00096C91"/>
    <w:rsid w:val="000A5E86"/>
    <w:rsid w:val="000E50F2"/>
    <w:rsid w:val="000F339A"/>
    <w:rsid w:val="00110161"/>
    <w:rsid w:val="00127693"/>
    <w:rsid w:val="00175391"/>
    <w:rsid w:val="00195BBC"/>
    <w:rsid w:val="001F2C01"/>
    <w:rsid w:val="00205A33"/>
    <w:rsid w:val="002522B6"/>
    <w:rsid w:val="0025405B"/>
    <w:rsid w:val="002934B1"/>
    <w:rsid w:val="002A7F3A"/>
    <w:rsid w:val="002B26AF"/>
    <w:rsid w:val="002C31A1"/>
    <w:rsid w:val="002D29DA"/>
    <w:rsid w:val="002E3973"/>
    <w:rsid w:val="002E5D6D"/>
    <w:rsid w:val="002E6005"/>
    <w:rsid w:val="00310012"/>
    <w:rsid w:val="0031670D"/>
    <w:rsid w:val="003A63C1"/>
    <w:rsid w:val="003E1953"/>
    <w:rsid w:val="0040252E"/>
    <w:rsid w:val="00413C98"/>
    <w:rsid w:val="0041477D"/>
    <w:rsid w:val="00436F19"/>
    <w:rsid w:val="00441661"/>
    <w:rsid w:val="0044419C"/>
    <w:rsid w:val="0044670D"/>
    <w:rsid w:val="00465EBF"/>
    <w:rsid w:val="00466054"/>
    <w:rsid w:val="004A07AE"/>
    <w:rsid w:val="004B447F"/>
    <w:rsid w:val="004C3634"/>
    <w:rsid w:val="005031F1"/>
    <w:rsid w:val="005530C3"/>
    <w:rsid w:val="00555EE3"/>
    <w:rsid w:val="005608AD"/>
    <w:rsid w:val="00562D2B"/>
    <w:rsid w:val="00591FC6"/>
    <w:rsid w:val="005B7892"/>
    <w:rsid w:val="005D3437"/>
    <w:rsid w:val="00602164"/>
    <w:rsid w:val="006213FF"/>
    <w:rsid w:val="00625315"/>
    <w:rsid w:val="00654479"/>
    <w:rsid w:val="006820A8"/>
    <w:rsid w:val="006C0C4F"/>
    <w:rsid w:val="006F62BC"/>
    <w:rsid w:val="00744B31"/>
    <w:rsid w:val="00766811"/>
    <w:rsid w:val="00770BB3"/>
    <w:rsid w:val="00776575"/>
    <w:rsid w:val="007814BD"/>
    <w:rsid w:val="007A2731"/>
    <w:rsid w:val="007B5B71"/>
    <w:rsid w:val="007D09E7"/>
    <w:rsid w:val="008107A4"/>
    <w:rsid w:val="008208F2"/>
    <w:rsid w:val="008458AA"/>
    <w:rsid w:val="00865334"/>
    <w:rsid w:val="008800D8"/>
    <w:rsid w:val="008A48A5"/>
    <w:rsid w:val="008C3787"/>
    <w:rsid w:val="008D64AE"/>
    <w:rsid w:val="008E4767"/>
    <w:rsid w:val="008F6F6F"/>
    <w:rsid w:val="00931BAA"/>
    <w:rsid w:val="0097343A"/>
    <w:rsid w:val="00983C58"/>
    <w:rsid w:val="009A16DA"/>
    <w:rsid w:val="009A2BF6"/>
    <w:rsid w:val="009B1F52"/>
    <w:rsid w:val="009B5486"/>
    <w:rsid w:val="009B6543"/>
    <w:rsid w:val="009E6F91"/>
    <w:rsid w:val="00A01267"/>
    <w:rsid w:val="00A023B5"/>
    <w:rsid w:val="00A14EFA"/>
    <w:rsid w:val="00A909DC"/>
    <w:rsid w:val="00AA5EF5"/>
    <w:rsid w:val="00AD5370"/>
    <w:rsid w:val="00AD67CB"/>
    <w:rsid w:val="00AE4C83"/>
    <w:rsid w:val="00B12C59"/>
    <w:rsid w:val="00B26BC2"/>
    <w:rsid w:val="00B62F73"/>
    <w:rsid w:val="00B67F7F"/>
    <w:rsid w:val="00B70792"/>
    <w:rsid w:val="00B93C69"/>
    <w:rsid w:val="00B965B3"/>
    <w:rsid w:val="00BB0AE8"/>
    <w:rsid w:val="00BB650F"/>
    <w:rsid w:val="00BC06EA"/>
    <w:rsid w:val="00BC128B"/>
    <w:rsid w:val="00BC1304"/>
    <w:rsid w:val="00C162D4"/>
    <w:rsid w:val="00C353A7"/>
    <w:rsid w:val="00C3730E"/>
    <w:rsid w:val="00C71B50"/>
    <w:rsid w:val="00C93BE6"/>
    <w:rsid w:val="00CB4207"/>
    <w:rsid w:val="00CE1750"/>
    <w:rsid w:val="00CE7D13"/>
    <w:rsid w:val="00D00E30"/>
    <w:rsid w:val="00D316A3"/>
    <w:rsid w:val="00D32A44"/>
    <w:rsid w:val="00D67990"/>
    <w:rsid w:val="00DA0C00"/>
    <w:rsid w:val="00DE0DCA"/>
    <w:rsid w:val="00DE227B"/>
    <w:rsid w:val="00DE5929"/>
    <w:rsid w:val="00E028F4"/>
    <w:rsid w:val="00E044DE"/>
    <w:rsid w:val="00E325E6"/>
    <w:rsid w:val="00E852FA"/>
    <w:rsid w:val="00E95487"/>
    <w:rsid w:val="00EC2B65"/>
    <w:rsid w:val="00EC47B9"/>
    <w:rsid w:val="00ED1DF0"/>
    <w:rsid w:val="00ED5932"/>
    <w:rsid w:val="00EE01A9"/>
    <w:rsid w:val="00EF437C"/>
    <w:rsid w:val="00EF66BD"/>
    <w:rsid w:val="00F44670"/>
    <w:rsid w:val="00F52EDB"/>
    <w:rsid w:val="00F66DDE"/>
    <w:rsid w:val="00F8640E"/>
    <w:rsid w:val="00F900A9"/>
    <w:rsid w:val="00FA069A"/>
    <w:rsid w:val="00FA2F33"/>
    <w:rsid w:val="00FD3ADD"/>
    <w:rsid w:val="01DE43A5"/>
    <w:rsid w:val="02331551"/>
    <w:rsid w:val="026C7677"/>
    <w:rsid w:val="02F15964"/>
    <w:rsid w:val="03A9058B"/>
    <w:rsid w:val="03D94044"/>
    <w:rsid w:val="042743DD"/>
    <w:rsid w:val="04825F75"/>
    <w:rsid w:val="057418A8"/>
    <w:rsid w:val="058F381A"/>
    <w:rsid w:val="05934512"/>
    <w:rsid w:val="06834158"/>
    <w:rsid w:val="06B96B2D"/>
    <w:rsid w:val="06F47BCF"/>
    <w:rsid w:val="07974BA3"/>
    <w:rsid w:val="07CC43DC"/>
    <w:rsid w:val="07CF79D0"/>
    <w:rsid w:val="085E6C57"/>
    <w:rsid w:val="08A0744A"/>
    <w:rsid w:val="08B7798E"/>
    <w:rsid w:val="08FC0DC3"/>
    <w:rsid w:val="09180E69"/>
    <w:rsid w:val="097E5A48"/>
    <w:rsid w:val="09AE46C6"/>
    <w:rsid w:val="0A4F2548"/>
    <w:rsid w:val="0ACA1703"/>
    <w:rsid w:val="0B1F1AA1"/>
    <w:rsid w:val="0B5D018D"/>
    <w:rsid w:val="0C516B2F"/>
    <w:rsid w:val="0CAC35BF"/>
    <w:rsid w:val="0CE854A9"/>
    <w:rsid w:val="0D665486"/>
    <w:rsid w:val="0DE521AE"/>
    <w:rsid w:val="0E190EFB"/>
    <w:rsid w:val="0EA05AF0"/>
    <w:rsid w:val="0F857E89"/>
    <w:rsid w:val="0F93209D"/>
    <w:rsid w:val="105E1771"/>
    <w:rsid w:val="112A4B96"/>
    <w:rsid w:val="115245CD"/>
    <w:rsid w:val="11AE65D9"/>
    <w:rsid w:val="12FF279C"/>
    <w:rsid w:val="1320530C"/>
    <w:rsid w:val="132A2545"/>
    <w:rsid w:val="136F6386"/>
    <w:rsid w:val="13C951A5"/>
    <w:rsid w:val="13ED260E"/>
    <w:rsid w:val="1475193A"/>
    <w:rsid w:val="149E07BE"/>
    <w:rsid w:val="15420057"/>
    <w:rsid w:val="15CB5502"/>
    <w:rsid w:val="16020356"/>
    <w:rsid w:val="160B6E1E"/>
    <w:rsid w:val="16423B79"/>
    <w:rsid w:val="168D00E6"/>
    <w:rsid w:val="16F51102"/>
    <w:rsid w:val="17117C83"/>
    <w:rsid w:val="17EB6525"/>
    <w:rsid w:val="180704AB"/>
    <w:rsid w:val="18185886"/>
    <w:rsid w:val="18852867"/>
    <w:rsid w:val="18CA3700"/>
    <w:rsid w:val="195B6AE2"/>
    <w:rsid w:val="19D35A19"/>
    <w:rsid w:val="1A0263BB"/>
    <w:rsid w:val="1B3A2E10"/>
    <w:rsid w:val="1B7371F3"/>
    <w:rsid w:val="1B8308F5"/>
    <w:rsid w:val="1B84478A"/>
    <w:rsid w:val="1C0977F9"/>
    <w:rsid w:val="1C9E4D73"/>
    <w:rsid w:val="1CF1405C"/>
    <w:rsid w:val="1CF571E1"/>
    <w:rsid w:val="1DB62459"/>
    <w:rsid w:val="2078290C"/>
    <w:rsid w:val="20EB59B5"/>
    <w:rsid w:val="210C2C6A"/>
    <w:rsid w:val="21285245"/>
    <w:rsid w:val="21D74917"/>
    <w:rsid w:val="21F62E87"/>
    <w:rsid w:val="22583052"/>
    <w:rsid w:val="22607DDC"/>
    <w:rsid w:val="227F5DD7"/>
    <w:rsid w:val="237558BA"/>
    <w:rsid w:val="238121E0"/>
    <w:rsid w:val="24721A4F"/>
    <w:rsid w:val="24A963BA"/>
    <w:rsid w:val="251152AD"/>
    <w:rsid w:val="25181AF5"/>
    <w:rsid w:val="251A7287"/>
    <w:rsid w:val="252B5AE1"/>
    <w:rsid w:val="25884D88"/>
    <w:rsid w:val="258B5385"/>
    <w:rsid w:val="25A26681"/>
    <w:rsid w:val="25B73388"/>
    <w:rsid w:val="26F8265B"/>
    <w:rsid w:val="276F226F"/>
    <w:rsid w:val="280812EB"/>
    <w:rsid w:val="283B1CEF"/>
    <w:rsid w:val="28DE6BDB"/>
    <w:rsid w:val="2931217A"/>
    <w:rsid w:val="2A8F0E5E"/>
    <w:rsid w:val="2AA825BA"/>
    <w:rsid w:val="2BFE0BAD"/>
    <w:rsid w:val="2C81102E"/>
    <w:rsid w:val="2CE23089"/>
    <w:rsid w:val="2D2409A6"/>
    <w:rsid w:val="2D37171F"/>
    <w:rsid w:val="2DA537DC"/>
    <w:rsid w:val="2E1278BA"/>
    <w:rsid w:val="2EB459B9"/>
    <w:rsid w:val="2EEA2F06"/>
    <w:rsid w:val="2F1D3326"/>
    <w:rsid w:val="2F746B0D"/>
    <w:rsid w:val="31865F70"/>
    <w:rsid w:val="32210337"/>
    <w:rsid w:val="32644138"/>
    <w:rsid w:val="3272660E"/>
    <w:rsid w:val="327B1785"/>
    <w:rsid w:val="328A7CCB"/>
    <w:rsid w:val="32A3699E"/>
    <w:rsid w:val="33687A8E"/>
    <w:rsid w:val="337E0D2B"/>
    <w:rsid w:val="33DA62C5"/>
    <w:rsid w:val="33DB553A"/>
    <w:rsid w:val="340165B0"/>
    <w:rsid w:val="342403F6"/>
    <w:rsid w:val="35CF3B8F"/>
    <w:rsid w:val="35E94646"/>
    <w:rsid w:val="36601204"/>
    <w:rsid w:val="366D59FF"/>
    <w:rsid w:val="373570F5"/>
    <w:rsid w:val="375705F5"/>
    <w:rsid w:val="39005FDF"/>
    <w:rsid w:val="396C38BF"/>
    <w:rsid w:val="39FD5679"/>
    <w:rsid w:val="3A0912A4"/>
    <w:rsid w:val="3A6056F9"/>
    <w:rsid w:val="3A6E2C14"/>
    <w:rsid w:val="3A931241"/>
    <w:rsid w:val="3B30129E"/>
    <w:rsid w:val="3B905B71"/>
    <w:rsid w:val="3C690DB7"/>
    <w:rsid w:val="3C892325"/>
    <w:rsid w:val="3CE57D99"/>
    <w:rsid w:val="3D764384"/>
    <w:rsid w:val="3EB7278E"/>
    <w:rsid w:val="40592B2E"/>
    <w:rsid w:val="406225F7"/>
    <w:rsid w:val="410872A4"/>
    <w:rsid w:val="413E1F01"/>
    <w:rsid w:val="41591AA1"/>
    <w:rsid w:val="41AE4380"/>
    <w:rsid w:val="43074685"/>
    <w:rsid w:val="431D457C"/>
    <w:rsid w:val="436B7DE8"/>
    <w:rsid w:val="44757768"/>
    <w:rsid w:val="451577F8"/>
    <w:rsid w:val="454E0A27"/>
    <w:rsid w:val="45EE255B"/>
    <w:rsid w:val="46583E28"/>
    <w:rsid w:val="46817096"/>
    <w:rsid w:val="47330C59"/>
    <w:rsid w:val="48234D60"/>
    <w:rsid w:val="48C77B9D"/>
    <w:rsid w:val="48E35624"/>
    <w:rsid w:val="492038D6"/>
    <w:rsid w:val="49386F00"/>
    <w:rsid w:val="49390187"/>
    <w:rsid w:val="4964594D"/>
    <w:rsid w:val="49C20689"/>
    <w:rsid w:val="4A433F31"/>
    <w:rsid w:val="4ABB4785"/>
    <w:rsid w:val="4B3B5D39"/>
    <w:rsid w:val="4BA118C4"/>
    <w:rsid w:val="4BB9730F"/>
    <w:rsid w:val="4C6B5005"/>
    <w:rsid w:val="4E0E3C1F"/>
    <w:rsid w:val="4E2F42A8"/>
    <w:rsid w:val="4E3C1C68"/>
    <w:rsid w:val="4EB307FF"/>
    <w:rsid w:val="4EBF1BB0"/>
    <w:rsid w:val="4F156969"/>
    <w:rsid w:val="4F724B17"/>
    <w:rsid w:val="4FC402F7"/>
    <w:rsid w:val="4FCD2F74"/>
    <w:rsid w:val="50C00584"/>
    <w:rsid w:val="50DA1584"/>
    <w:rsid w:val="50FD4071"/>
    <w:rsid w:val="514359E5"/>
    <w:rsid w:val="51B15C09"/>
    <w:rsid w:val="52955233"/>
    <w:rsid w:val="53EB0304"/>
    <w:rsid w:val="54B16C35"/>
    <w:rsid w:val="554A7A81"/>
    <w:rsid w:val="55823383"/>
    <w:rsid w:val="55834CC1"/>
    <w:rsid w:val="55A43D85"/>
    <w:rsid w:val="561E5DB1"/>
    <w:rsid w:val="56A03EEE"/>
    <w:rsid w:val="56D837F2"/>
    <w:rsid w:val="57215D00"/>
    <w:rsid w:val="57242B74"/>
    <w:rsid w:val="574F4081"/>
    <w:rsid w:val="576171AC"/>
    <w:rsid w:val="57B324B6"/>
    <w:rsid w:val="57FD345F"/>
    <w:rsid w:val="590105B6"/>
    <w:rsid w:val="594552DE"/>
    <w:rsid w:val="59CC5D88"/>
    <w:rsid w:val="59F10681"/>
    <w:rsid w:val="5A3C46B6"/>
    <w:rsid w:val="5A532EAA"/>
    <w:rsid w:val="5A8D39BF"/>
    <w:rsid w:val="5B6A6A41"/>
    <w:rsid w:val="5BAA6A2E"/>
    <w:rsid w:val="5BF42EB4"/>
    <w:rsid w:val="5C0A4759"/>
    <w:rsid w:val="5D1450F9"/>
    <w:rsid w:val="5D191A8E"/>
    <w:rsid w:val="5D91288F"/>
    <w:rsid w:val="5D9D1011"/>
    <w:rsid w:val="5F31706D"/>
    <w:rsid w:val="5FE130AE"/>
    <w:rsid w:val="5FE61B9E"/>
    <w:rsid w:val="60322703"/>
    <w:rsid w:val="607551B6"/>
    <w:rsid w:val="60A400E5"/>
    <w:rsid w:val="60CF4BF0"/>
    <w:rsid w:val="61A711A7"/>
    <w:rsid w:val="626665B8"/>
    <w:rsid w:val="62C404E2"/>
    <w:rsid w:val="62C45985"/>
    <w:rsid w:val="62F54E50"/>
    <w:rsid w:val="630B4937"/>
    <w:rsid w:val="63175EC5"/>
    <w:rsid w:val="63291C8F"/>
    <w:rsid w:val="63291CF3"/>
    <w:rsid w:val="63416CE9"/>
    <w:rsid w:val="645052B9"/>
    <w:rsid w:val="64D4546E"/>
    <w:rsid w:val="65A26387"/>
    <w:rsid w:val="660F7ACA"/>
    <w:rsid w:val="661D4AC7"/>
    <w:rsid w:val="66280907"/>
    <w:rsid w:val="66DD7AEA"/>
    <w:rsid w:val="66E127B2"/>
    <w:rsid w:val="671F5EBB"/>
    <w:rsid w:val="675D5914"/>
    <w:rsid w:val="67D933FD"/>
    <w:rsid w:val="68865710"/>
    <w:rsid w:val="68B871F7"/>
    <w:rsid w:val="694F266B"/>
    <w:rsid w:val="699F2BCD"/>
    <w:rsid w:val="69AE313A"/>
    <w:rsid w:val="6BC42C2A"/>
    <w:rsid w:val="6C4D5FB1"/>
    <w:rsid w:val="6CA27E8A"/>
    <w:rsid w:val="6D290FC9"/>
    <w:rsid w:val="6D670B85"/>
    <w:rsid w:val="6E0D0839"/>
    <w:rsid w:val="6ECB5BF3"/>
    <w:rsid w:val="6F087DA2"/>
    <w:rsid w:val="6FBC0714"/>
    <w:rsid w:val="70F61271"/>
    <w:rsid w:val="710441DC"/>
    <w:rsid w:val="712B4A9A"/>
    <w:rsid w:val="71947DAB"/>
    <w:rsid w:val="71EF3DB1"/>
    <w:rsid w:val="738A6473"/>
    <w:rsid w:val="73D55BEB"/>
    <w:rsid w:val="748F570F"/>
    <w:rsid w:val="75164380"/>
    <w:rsid w:val="75AE2636"/>
    <w:rsid w:val="764E1592"/>
    <w:rsid w:val="76DF6B95"/>
    <w:rsid w:val="77813F12"/>
    <w:rsid w:val="78694B1C"/>
    <w:rsid w:val="78745F9E"/>
    <w:rsid w:val="78A922B6"/>
    <w:rsid w:val="7A3C5A17"/>
    <w:rsid w:val="7BA614F8"/>
    <w:rsid w:val="7BB35A02"/>
    <w:rsid w:val="7DE26E71"/>
    <w:rsid w:val="7DF65EDD"/>
    <w:rsid w:val="7ECB73D6"/>
    <w:rsid w:val="7EEC6BDF"/>
    <w:rsid w:val="7F0717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00" w:lineRule="auto"/>
      <w:jc w:val="center"/>
      <w:outlineLvl w:val="0"/>
    </w:pPr>
    <w:rPr>
      <w:rFonts w:ascii="Times New Roman" w:hAnsi="Times New Roman" w:eastAsia="仿宋"/>
      <w:b/>
      <w:bCs/>
      <w:kern w:val="44"/>
      <w:sz w:val="28"/>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numPr>
        <w:ilvl w:val="0"/>
        <w:numId w:val="1"/>
      </w:numPr>
      <w:outlineLvl w:val="2"/>
    </w:pPr>
    <w:rPr>
      <w:rFonts w:eastAsia="黑体"/>
      <w:sz w:val="44"/>
    </w:rPr>
  </w:style>
  <w:style w:type="paragraph" w:styleId="6">
    <w:name w:val="heading 6"/>
    <w:basedOn w:val="1"/>
    <w:next w:val="1"/>
    <w:qFormat/>
    <w:uiPriority w:val="0"/>
    <w:pPr>
      <w:numPr>
        <w:ilvl w:val="5"/>
        <w:numId w:val="2"/>
      </w:numPr>
      <w:tabs>
        <w:tab w:val="left" w:pos="2040"/>
      </w:tabs>
      <w:ind w:left="1152" w:leftChars="0" w:hanging="432" w:firstLineChars="0"/>
      <w:outlineLvl w:val="5"/>
    </w:pPr>
    <w:rPr>
      <w:rFonts w:ascii="Times New Roman" w:hAnsi="Times New Roman"/>
      <w:kern w:val="0"/>
      <w:sz w:val="20"/>
      <w:szCs w:val="20"/>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7">
    <w:name w:val="Normal Indent"/>
    <w:basedOn w:val="1"/>
    <w:qFormat/>
    <w:uiPriority w:val="0"/>
    <w:pPr>
      <w:adjustRightInd w:val="0"/>
      <w:spacing w:line="360" w:lineRule="atLeast"/>
      <w:ind w:firstLine="420"/>
      <w:jc w:val="left"/>
      <w:textAlignment w:val="baseline"/>
    </w:pPr>
    <w:rPr>
      <w:kern w:val="0"/>
      <w:sz w:val="24"/>
    </w:rPr>
  </w:style>
  <w:style w:type="paragraph" w:styleId="8">
    <w:name w:val="annotation text"/>
    <w:basedOn w:val="1"/>
    <w:link w:val="23"/>
    <w:unhideWhenUsed/>
    <w:qFormat/>
    <w:uiPriority w:val="99"/>
    <w:pPr>
      <w:jc w:val="left"/>
    </w:pPr>
  </w:style>
  <w:style w:type="paragraph" w:styleId="9">
    <w:name w:val="Body Text Indent"/>
    <w:basedOn w:val="1"/>
    <w:unhideWhenUsed/>
    <w:qFormat/>
    <w:uiPriority w:val="99"/>
    <w:pPr>
      <w:spacing w:after="120"/>
      <w:ind w:left="420" w:leftChars="200"/>
    </w:pPr>
  </w:style>
  <w:style w:type="paragraph" w:styleId="10">
    <w:name w:val="Plain Text"/>
    <w:basedOn w:val="1"/>
    <w:qFormat/>
    <w:uiPriority w:val="0"/>
    <w:rPr>
      <w:rFonts w:ascii="宋体" w:hAnsi="Courier New" w:cs="Courier New"/>
      <w:kern w:val="2"/>
      <w:sz w:val="21"/>
      <w:szCs w:val="21"/>
    </w:rPr>
  </w:style>
  <w:style w:type="paragraph" w:styleId="11">
    <w:name w:val="Body Text Indent 2"/>
    <w:basedOn w:val="1"/>
    <w:semiHidden/>
    <w:qFormat/>
    <w:uiPriority w:val="0"/>
    <w:pPr>
      <w:spacing w:after="120" w:line="480" w:lineRule="auto"/>
      <w:ind w:left="420" w:leftChars="200"/>
    </w:pPr>
    <w:rPr>
      <w:rFonts w:ascii="Times New Roman" w:hAnsi="Times New Roman"/>
      <w:kern w:val="0"/>
      <w:sz w:val="20"/>
      <w:szCs w:val="24"/>
    </w:rPr>
  </w:style>
  <w:style w:type="paragraph" w:styleId="12">
    <w:name w:val="Balloon Text"/>
    <w:basedOn w:val="1"/>
    <w:link w:val="24"/>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qFormat/>
    <w:uiPriority w:val="99"/>
    <w:pPr>
      <w:widowControl/>
      <w:spacing w:before="100" w:beforeAutospacing="1" w:after="100" w:afterAutospacing="1" w:line="283" w:lineRule="atLeast"/>
      <w:jc w:val="left"/>
    </w:pPr>
    <w:rPr>
      <w:rFonts w:ascii="宋体" w:hAnsi="宋体"/>
      <w:color w:val="000000"/>
      <w:kern w:val="0"/>
      <w:sz w:val="19"/>
      <w:szCs w:val="19"/>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paragraph" w:styleId="19">
    <w:name w:val="annotation subject"/>
    <w:basedOn w:val="8"/>
    <w:next w:val="8"/>
    <w:link w:val="26"/>
    <w:qFormat/>
    <w:uiPriority w:val="0"/>
    <w:rPr>
      <w:b/>
      <w:bCs/>
    </w:rPr>
  </w:style>
  <w:style w:type="character" w:styleId="22">
    <w:name w:val="annotation reference"/>
    <w:qFormat/>
    <w:uiPriority w:val="0"/>
    <w:rPr>
      <w:sz w:val="21"/>
      <w:szCs w:val="21"/>
    </w:rPr>
  </w:style>
  <w:style w:type="character" w:customStyle="1" w:styleId="23">
    <w:name w:val="批注文字 字符"/>
    <w:link w:val="8"/>
    <w:qFormat/>
    <w:uiPriority w:val="99"/>
    <w:rPr>
      <w:kern w:val="2"/>
      <w:sz w:val="21"/>
      <w:szCs w:val="24"/>
    </w:rPr>
  </w:style>
  <w:style w:type="character" w:customStyle="1" w:styleId="24">
    <w:name w:val="批注框文本 字符"/>
    <w:link w:val="12"/>
    <w:qFormat/>
    <w:uiPriority w:val="0"/>
    <w:rPr>
      <w:kern w:val="2"/>
      <w:sz w:val="18"/>
      <w:szCs w:val="18"/>
    </w:rPr>
  </w:style>
  <w:style w:type="character" w:customStyle="1" w:styleId="25">
    <w:name w:val="页眉 字符"/>
    <w:link w:val="14"/>
    <w:qFormat/>
    <w:uiPriority w:val="0"/>
    <w:rPr>
      <w:kern w:val="2"/>
      <w:sz w:val="18"/>
      <w:szCs w:val="18"/>
    </w:rPr>
  </w:style>
  <w:style w:type="character" w:customStyle="1" w:styleId="26">
    <w:name w:val="批注主题 字符"/>
    <w:link w:val="19"/>
    <w:qFormat/>
    <w:uiPriority w:val="0"/>
    <w:rPr>
      <w:b/>
      <w:bCs/>
      <w:kern w:val="2"/>
      <w:sz w:val="21"/>
      <w:szCs w:val="24"/>
    </w:rPr>
  </w:style>
  <w:style w:type="paragraph" w:customStyle="1" w:styleId="27">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Body Text Indent 2_0"/>
    <w:basedOn w:val="27"/>
    <w:semiHidden/>
    <w:qFormat/>
    <w:uiPriority w:val="0"/>
    <w:pPr>
      <w:spacing w:after="120" w:line="480" w:lineRule="auto"/>
      <w:ind w:left="420" w:leftChars="200"/>
    </w:pPr>
  </w:style>
  <w:style w:type="paragraph" w:customStyle="1" w:styleId="29">
    <w:name w:val="！表格内容"/>
    <w:basedOn w:val="1"/>
    <w:qFormat/>
    <w:uiPriority w:val="0"/>
    <w:pPr>
      <w:spacing w:line="320" w:lineRule="atLeast"/>
    </w:pPr>
    <w:rPr>
      <w:rFonts w:ascii="Times New Roman" w:hAnsi="Times New Roman"/>
      <w:szCs w:val="24"/>
    </w:rPr>
  </w:style>
  <w:style w:type="paragraph" w:customStyle="1" w:styleId="30">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31">
    <w:name w:val="_Style 30"/>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14892</Words>
  <Characters>15428</Characters>
  <Lines>157</Lines>
  <Paragraphs>44</Paragraphs>
  <TotalTime>9</TotalTime>
  <ScaleCrop>false</ScaleCrop>
  <LinksUpToDate>false</LinksUpToDate>
  <CharactersWithSpaces>16199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2021-03-10T01:01:00Z</dcterms:created>
  <dc:creator>HP</dc:creator>
  <cp:lastModifiedBy>图书馆陈燕</cp:lastModifiedBy>
  <cp:lastPrinted>2019-03-29T02:05:00Z</cp:lastPrinted>
  <dcterms:modified xsi:type="dcterms:W3CDTF">2024-01-24T07:57:10Z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FB384EBEA98341C58FFE83D47984903C</vt:lpwstr>
  </property>
</Properties>
</file>